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Times New Roman" w:eastAsia="黑体"/>
          <w:b/>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Times New Roman" w:eastAsia="黑体"/>
          <w:b/>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Times New Roman" w:eastAsia="黑体"/>
          <w:b/>
          <w:sz w:val="32"/>
          <w:szCs w:val="32"/>
        </w:rPr>
      </w:pP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黑体" w:hAnsi="Times New Roman" w:eastAsia="黑体"/>
          <w:b/>
          <w:sz w:val="32"/>
          <w:szCs w:val="32"/>
        </w:rPr>
      </w:pPr>
    </w:p>
    <w:p>
      <w:pPr>
        <w:pStyle w:val="2"/>
        <w:keepNext w:val="0"/>
        <w:keepLines w:val="0"/>
        <w:pageBreakBefore w:val="0"/>
        <w:widowControl w:val="0"/>
        <w:kinsoku/>
        <w:wordWrap/>
        <w:overflowPunct/>
        <w:topLinePunct w:val="0"/>
        <w:autoSpaceDE/>
        <w:autoSpaceDN/>
        <w:bidi w:val="0"/>
        <w:spacing w:line="680" w:lineRule="exact"/>
        <w:textAlignment w:val="auto"/>
        <w:rPr>
          <w:rFonts w:hint="eastAsia" w:ascii="黑体" w:hAnsi="Times New Roman" w:eastAsia="黑体"/>
          <w:b/>
          <w:sz w:val="32"/>
          <w:szCs w:val="32"/>
        </w:rPr>
      </w:pPr>
    </w:p>
    <w:p>
      <w:pPr>
        <w:keepNext w:val="0"/>
        <w:keepLines w:val="0"/>
        <w:pageBreakBefore w:val="0"/>
        <w:widowControl w:val="0"/>
        <w:kinsoku/>
        <w:wordWrap/>
        <w:overflowPunct/>
        <w:topLinePunct w:val="0"/>
        <w:autoSpaceDE/>
        <w:autoSpaceDN/>
        <w:bidi w:val="0"/>
        <w:adjustRightInd w:val="0"/>
        <w:snapToGrid w:val="0"/>
        <w:spacing w:line="680" w:lineRule="exact"/>
        <w:ind w:left="0" w:leftChars="0"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蛟政发〔202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号</w:t>
      </w:r>
    </w:p>
    <w:p>
      <w:pPr>
        <w:pStyle w:val="2"/>
        <w:rPr>
          <w:rFonts w:hint="eastAsia" w:ascii="黑体" w:hAnsi="Times New Roman" w:eastAsia="黑体"/>
          <w:b/>
          <w:sz w:val="32"/>
          <w:szCs w:val="32"/>
        </w:rPr>
      </w:pPr>
    </w:p>
    <w:p>
      <w:pPr>
        <w:pStyle w:val="2"/>
        <w:rPr>
          <w:rFonts w:hint="eastAsia" w:ascii="黑体" w:hAnsi="Times New Roman" w:eastAsia="黑体"/>
          <w:b/>
          <w:sz w:val="32"/>
          <w:szCs w:val="32"/>
        </w:rPr>
      </w:pPr>
    </w:p>
    <w:p>
      <w:pPr>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蛟河市人民政府关于印发</w:t>
      </w:r>
    </w:p>
    <w:p>
      <w:pPr>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蛟河市国民经济和社会发展第十四个五年规划和2035年远景目标纲要的通知</w:t>
      </w:r>
    </w:p>
    <w:p>
      <w:pPr>
        <w:pStyle w:val="2"/>
        <w:rPr>
          <w:rFonts w:hint="eastAsia"/>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各乡镇人民政府、街道办事处、开发区管委会，市政府各部门，各垂直管理部门：</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《蛟河市国民经济和社会发展第十四个五年规划和2035年远景目标纲要》已经蛟河市第十八届人民代表大会第五次会议审查批准，现印发给你们，请结合实际，认真贯彻执行。</w:t>
      </w:r>
    </w:p>
    <w:p>
      <w:pPr>
        <w:ind w:firstLine="640"/>
        <w:jc w:val="left"/>
        <w:rPr>
          <w:rFonts w:hint="eastAsia"/>
          <w:sz w:val="32"/>
          <w:szCs w:val="32"/>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before="0" w:after="0" w:line="560" w:lineRule="exact"/>
        <w:ind w:firstLine="5440" w:firstLineChars="17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蛟河市人民政府</w:t>
      </w:r>
    </w:p>
    <w:p>
      <w:pPr>
        <w:keepNext w:val="0"/>
        <w:keepLines w:val="0"/>
        <w:pageBreakBefore w:val="0"/>
        <w:widowControl w:val="0"/>
        <w:kinsoku/>
        <w:wordWrap/>
        <w:overflowPunct/>
        <w:topLinePunct w:val="0"/>
        <w:autoSpaceDE/>
        <w:autoSpaceDN/>
        <w:bidi w:val="0"/>
        <w:adjustRightInd w:val="0"/>
        <w:snapToGrid w:val="0"/>
        <w:spacing w:before="0" w:after="0" w:line="560" w:lineRule="exact"/>
        <w:ind w:firstLine="5344" w:firstLineChars="167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2021年</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24</w:t>
      </w:r>
      <w:r>
        <w:rPr>
          <w:rFonts w:hint="default" w:ascii="Times New Roman" w:hAnsi="Times New Roman" w:eastAsia="仿宋_GB2312" w:cs="Times New Roman"/>
          <w:sz w:val="32"/>
          <w:szCs w:val="32"/>
          <w:lang w:val="en-US" w:eastAsia="zh-CN"/>
        </w:rPr>
        <w:t>日</w:t>
      </w:r>
    </w:p>
    <w:p>
      <w:pPr>
        <w:rPr>
          <w:rFonts w:hint="eastAsia" w:ascii="黑体" w:hAnsi="Times New Roman" w:eastAsia="黑体"/>
          <w:b/>
          <w:sz w:val="44"/>
          <w:szCs w:val="44"/>
          <w:lang w:eastAsia="zh-CN"/>
        </w:rPr>
      </w:pPr>
    </w:p>
    <w:p/>
    <w:p>
      <w:pPr>
        <w:pStyle w:val="2"/>
        <w:rPr>
          <w:rFonts w:ascii="微软雅黑" w:hAnsi="微软雅黑" w:eastAsia="微软雅黑"/>
          <w:b/>
          <w:bCs/>
          <w:sz w:val="40"/>
          <w:szCs w:val="36"/>
        </w:rPr>
      </w:pPr>
    </w:p>
    <w:p>
      <w:pPr>
        <w:pStyle w:val="2"/>
        <w:rPr>
          <w:rFonts w:ascii="微软雅黑" w:hAnsi="微软雅黑" w:eastAsia="微软雅黑"/>
          <w:b/>
          <w:bCs/>
          <w:sz w:val="40"/>
          <w:szCs w:val="36"/>
        </w:rPr>
      </w:pPr>
    </w:p>
    <w:p>
      <w:pPr>
        <w:pStyle w:val="2"/>
        <w:spacing w:line="240" w:lineRule="auto"/>
        <w:ind w:left="0" w:leftChars="0" w:firstLine="0" w:firstLineChars="0"/>
        <w:jc w:val="center"/>
        <w:rPr>
          <w:rFonts w:hint="eastAsia" w:ascii="方正小标宋简体" w:hAnsi="Times New Roman" w:eastAsia="方正小标宋简体" w:cs="Times New Roman"/>
          <w:sz w:val="44"/>
          <w:lang w:val="en-US" w:eastAsia="zh-CN"/>
        </w:rPr>
      </w:pPr>
      <w:r>
        <w:rPr>
          <w:rFonts w:hint="eastAsia" w:ascii="方正小标宋简体" w:hAnsi="Times New Roman" w:eastAsia="方正小标宋简体" w:cs="Times New Roman"/>
          <w:sz w:val="44"/>
          <w:lang w:val="en-US" w:eastAsia="zh-CN"/>
        </w:rPr>
        <w:t>蛟河市国民经济和社会发展</w:t>
      </w:r>
    </w:p>
    <w:p>
      <w:pPr>
        <w:pStyle w:val="2"/>
        <w:spacing w:line="240" w:lineRule="auto"/>
        <w:ind w:left="0" w:leftChars="0" w:firstLine="0" w:firstLineChars="0"/>
        <w:jc w:val="center"/>
        <w:rPr>
          <w:rFonts w:hint="eastAsia" w:ascii="方正小标宋简体" w:hAnsi="Times New Roman" w:eastAsia="方正小标宋简体" w:cs="Times New Roman"/>
          <w:sz w:val="44"/>
          <w:lang w:val="en-US" w:eastAsia="zh-CN"/>
        </w:rPr>
      </w:pPr>
      <w:r>
        <w:rPr>
          <w:rFonts w:hint="eastAsia" w:ascii="方正小标宋简体" w:hAnsi="Times New Roman" w:eastAsia="方正小标宋简体" w:cs="Times New Roman"/>
          <w:sz w:val="44"/>
          <w:lang w:val="en-US" w:eastAsia="zh-CN"/>
        </w:rPr>
        <w:t>第十四个五年规划和2035年远景目标纲要</w:t>
      </w:r>
    </w:p>
    <w:p>
      <w:pPr>
        <w:jc w:val="center"/>
        <w:rPr>
          <w:rFonts w:ascii="微软雅黑" w:hAnsi="微软雅黑" w:eastAsia="微软雅黑"/>
          <w:b/>
          <w:bCs/>
          <w:sz w:val="40"/>
          <w:szCs w:val="36"/>
        </w:rPr>
      </w:pPr>
    </w:p>
    <w:p>
      <w:pPr>
        <w:jc w:val="center"/>
        <w:rPr>
          <w:rFonts w:ascii="微软雅黑" w:hAnsi="微软雅黑" w:eastAsia="微软雅黑"/>
          <w:b/>
          <w:bCs/>
          <w:sz w:val="40"/>
          <w:szCs w:val="36"/>
        </w:rPr>
      </w:pPr>
    </w:p>
    <w:p>
      <w:pPr>
        <w:jc w:val="center"/>
        <w:rPr>
          <w:rFonts w:ascii="微软雅黑" w:hAnsi="微软雅黑" w:eastAsia="微软雅黑"/>
          <w:b/>
          <w:bCs/>
          <w:sz w:val="40"/>
          <w:szCs w:val="36"/>
        </w:rPr>
      </w:pPr>
    </w:p>
    <w:p>
      <w:pPr>
        <w:jc w:val="center"/>
        <w:rPr>
          <w:rFonts w:ascii="微软雅黑" w:hAnsi="微软雅黑" w:eastAsia="微软雅黑"/>
          <w:b/>
          <w:bCs/>
          <w:sz w:val="40"/>
          <w:szCs w:val="36"/>
        </w:rPr>
      </w:pPr>
    </w:p>
    <w:p>
      <w:pPr>
        <w:jc w:val="center"/>
        <w:rPr>
          <w:rFonts w:ascii="微软雅黑" w:hAnsi="微软雅黑" w:eastAsia="微软雅黑"/>
          <w:b/>
          <w:bCs/>
          <w:sz w:val="40"/>
          <w:szCs w:val="36"/>
        </w:rPr>
      </w:pPr>
    </w:p>
    <w:p>
      <w:pPr>
        <w:pStyle w:val="2"/>
      </w:pPr>
    </w:p>
    <w:p>
      <w:pPr>
        <w:pStyle w:val="2"/>
        <w:spacing w:line="240" w:lineRule="auto"/>
        <w:ind w:left="0" w:leftChars="0" w:firstLine="0" w:firstLineChars="0"/>
        <w:jc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蛟河市人民政府</w:t>
      </w:r>
    </w:p>
    <w:p>
      <w:pPr>
        <w:pStyle w:val="2"/>
        <w:spacing w:line="240" w:lineRule="auto"/>
        <w:ind w:left="0" w:leftChars="0" w:firstLine="0" w:firstLineChars="0"/>
        <w:jc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2021年5月</w:t>
      </w:r>
    </w:p>
    <w:p>
      <w:pPr>
        <w:ind w:firstLine="0"/>
        <w:jc w:val="center"/>
      </w:pPr>
    </w:p>
    <w:p>
      <w:pPr>
        <w:ind w:firstLine="0"/>
        <w:jc w:val="center"/>
        <w:sectPr>
          <w:footerReference r:id="rId5" w:type="default"/>
          <w:footerReference r:id="rId6" w:type="even"/>
          <w:pgSz w:w="11907" w:h="16839"/>
          <w:pgMar w:top="2041" w:right="1531" w:bottom="2041" w:left="1531" w:header="851" w:footer="992" w:gutter="0"/>
          <w:pgNumType w:fmt="decimal" w:start="1"/>
          <w:cols w:space="0" w:num="1"/>
          <w:rtlGutter w:val="0"/>
          <w:docGrid w:type="lines" w:linePitch="326" w:charSpace="0"/>
        </w:sectPr>
      </w:pPr>
    </w:p>
    <w:p>
      <w:pPr>
        <w:spacing w:line="240" w:lineRule="auto"/>
        <w:ind w:firstLine="0"/>
        <w:jc w:val="center"/>
        <w:rPr>
          <w:rFonts w:hint="eastAsia" w:ascii="仿宋" w:hAnsi="仿宋" w:eastAsia="仿宋" w:cs="仿宋"/>
          <w:b/>
          <w:bCs/>
          <w:sz w:val="32"/>
          <w:szCs w:val="32"/>
        </w:rPr>
      </w:pPr>
    </w:p>
    <w:p>
      <w:pPr>
        <w:spacing w:line="240" w:lineRule="auto"/>
        <w:ind w:firstLine="0"/>
        <w:jc w:val="center"/>
        <w:rPr>
          <w:rFonts w:hint="eastAsia" w:ascii="黑体" w:hAnsi="黑体" w:eastAsia="黑体" w:cs="黑体"/>
          <w:b/>
          <w:bCs/>
          <w:sz w:val="32"/>
          <w:szCs w:val="32"/>
        </w:rPr>
      </w:pPr>
      <w:r>
        <w:rPr>
          <w:rFonts w:hint="eastAsia" w:ascii="黑体" w:hAnsi="黑体" w:eastAsia="黑体" w:cs="黑体"/>
          <w:b/>
          <w:bCs/>
          <w:sz w:val="32"/>
          <w:szCs w:val="32"/>
        </w:rPr>
        <w:t>目</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rPr>
        <w:t>录</w:t>
      </w:r>
    </w:p>
    <w:p>
      <w:pPr>
        <w:pStyle w:val="19"/>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TOC \o "1-3" \h \z \u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_Toc21024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第一篇 “十三五”总结篇</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_Toc21024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_Toc21706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第一章 </w:t>
      </w:r>
      <w:r>
        <w:rPr>
          <w:rFonts w:hint="default" w:ascii="Times New Roman" w:hAnsi="Times New Roman" w:eastAsia="仿宋_GB2312" w:cs="Times New Roman"/>
          <w:b/>
          <w:bCs/>
          <w:i w:val="0"/>
          <w:iCs w:val="0"/>
          <w:sz w:val="28"/>
          <w:szCs w:val="28"/>
        </w:rPr>
        <w:t>“十三五”总结与回顾</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_Toc21706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9</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_Toc20300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发展基础</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_Toc20300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_Toc504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发展环境</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_Toc504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9"/>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_Toc17992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第二篇 “十四五”展望篇</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_Toc17992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_Toc23436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第二章 </w:t>
      </w:r>
      <w:r>
        <w:rPr>
          <w:rFonts w:hint="default" w:ascii="Times New Roman" w:hAnsi="Times New Roman" w:eastAsia="仿宋_GB2312" w:cs="Times New Roman"/>
          <w:b/>
          <w:bCs/>
          <w:i w:val="0"/>
          <w:iCs w:val="0"/>
          <w:sz w:val="28"/>
          <w:szCs w:val="28"/>
          <w:lang w:eastAsia="zh-CN"/>
        </w:rPr>
        <w:t>发展思路</w:t>
      </w:r>
      <w:r>
        <w:rPr>
          <w:rFonts w:hint="default" w:ascii="Times New Roman" w:hAnsi="Times New Roman" w:eastAsia="仿宋_GB2312" w:cs="Times New Roman"/>
          <w:b/>
          <w:bCs/>
          <w:i w:val="0"/>
          <w:iCs w:val="0"/>
          <w:sz w:val="28"/>
          <w:szCs w:val="28"/>
        </w:rPr>
        <w:t>和发展目标</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_Toc23436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17</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_Toc20372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lang w:eastAsia="zh-CN"/>
        </w:rPr>
        <w:t>指导思想</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_Toc20372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_Toc2223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发展原则</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_Toc2223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_Toc19381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发展目标</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_Toc19381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_Toc28108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未来展望</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_Toc28108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22</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_Toc25471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第三章 </w:t>
      </w:r>
      <w:r>
        <w:rPr>
          <w:rFonts w:hint="default" w:ascii="Times New Roman" w:hAnsi="Times New Roman" w:eastAsia="仿宋_GB2312" w:cs="Times New Roman"/>
          <w:b/>
          <w:bCs/>
          <w:i w:val="0"/>
          <w:iCs w:val="0"/>
          <w:sz w:val="28"/>
          <w:szCs w:val="28"/>
        </w:rPr>
        <w:t>发展布局</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_Toc25471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23</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_Toc22067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产业体系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_Toc22067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23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_Toc2975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空间布局</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_Toc2975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25</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9"/>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_Toc26612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第三篇 经济高质量发展篇</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_Toc26612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29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_Toc11674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第四章 </w:t>
      </w:r>
      <w:r>
        <w:rPr>
          <w:rFonts w:hint="default" w:ascii="Times New Roman" w:hAnsi="Times New Roman" w:eastAsia="仿宋_GB2312" w:cs="Times New Roman"/>
          <w:b/>
          <w:bCs/>
          <w:i w:val="0"/>
          <w:iCs w:val="0"/>
          <w:sz w:val="28"/>
          <w:szCs w:val="28"/>
        </w:rPr>
        <w:t>加快构建现代农业三大体系</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_Toc11674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29</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_Toc7020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加快建设现代农业生产体系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_Toc7020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29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_Toc27033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优化升级现代农业产业体系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_Toc27033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37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_Toc31832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创新建立现代农业经营体系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_Toc31832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44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_Toc16312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第五章 </w:t>
      </w:r>
      <w:r>
        <w:rPr>
          <w:rFonts w:hint="default" w:ascii="Times New Roman" w:hAnsi="Times New Roman" w:eastAsia="仿宋_GB2312" w:cs="Times New Roman"/>
          <w:b/>
          <w:bCs/>
          <w:i w:val="0"/>
          <w:iCs w:val="0"/>
          <w:sz w:val="28"/>
          <w:szCs w:val="28"/>
        </w:rPr>
        <w:t>着力推进传统优势产业转型升级</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_Toc16312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48</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_Toc26734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推动石材产业绿色循环发展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_Toc26734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48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_Toc9400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推进医药健康产业创新发展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_Toc9400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51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_Toc24521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推进新能源新材料产业全面发展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_Toc24521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53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_Toc25914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推进长白山特产品精深加工规模化发展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_Toc25914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54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_Toc23979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第六章 </w:t>
      </w:r>
      <w:r>
        <w:rPr>
          <w:rFonts w:hint="default" w:ascii="Times New Roman" w:hAnsi="Times New Roman" w:eastAsia="仿宋_GB2312" w:cs="Times New Roman"/>
          <w:b/>
          <w:bCs/>
          <w:i w:val="0"/>
          <w:iCs w:val="0"/>
          <w:sz w:val="28"/>
          <w:szCs w:val="28"/>
        </w:rPr>
        <w:t>繁荣现代服务业释放消费潜力</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_Toc23979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57</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_Toc5111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聚力发展生态旅游业</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_Toc5111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57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_Toc9318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优化升级商贸服务业</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_Toc9318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62</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_Toc25230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lang w:val="zh-CN"/>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lang w:val="zh-CN"/>
        </w:rPr>
        <w:t>加快发展现代服务业</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_Toc25230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64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_Toc32103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繁荣兴盛文化事业</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_Toc32103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66</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_Toc474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第七章 </w:t>
      </w:r>
      <w:r>
        <w:rPr>
          <w:rFonts w:hint="default" w:ascii="Times New Roman" w:hAnsi="Times New Roman" w:eastAsia="仿宋_GB2312" w:cs="Times New Roman"/>
          <w:b/>
          <w:bCs/>
          <w:i w:val="0"/>
          <w:iCs w:val="0"/>
          <w:sz w:val="28"/>
          <w:szCs w:val="28"/>
        </w:rPr>
        <w:t>全面深入推进科技创新发展</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_Toc474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67</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_Toc14006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shd w:val="clear" w:fill="FFFFFF"/>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shd w:val="clear" w:color="auto" w:fill="FFFFFF"/>
        </w:rPr>
        <w:t>提升企业自主创新能力</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_Toc14006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67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_Toc19958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lang w:bidi="ar"/>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lang w:bidi="ar"/>
        </w:rPr>
        <w:t>强化企业创新主体地位</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_Toc19958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68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_Toc12653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shd w:val="clear" w:fill="FFFFFF"/>
          <w:vertAlign w:val="baseline"/>
          <w:lang w:bidi="ar"/>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shd w:val="clear" w:color="auto" w:fill="FFFFFF"/>
          <w:lang w:bidi="ar"/>
        </w:rPr>
        <w:t>加强科技成果转化应用</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_Toc12653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68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_Toc27474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第八章 </w:t>
      </w:r>
      <w:r>
        <w:rPr>
          <w:rFonts w:hint="default" w:ascii="Times New Roman" w:hAnsi="Times New Roman" w:eastAsia="仿宋_GB2312" w:cs="Times New Roman"/>
          <w:b/>
          <w:bCs/>
          <w:i w:val="0"/>
          <w:iCs w:val="0"/>
          <w:sz w:val="28"/>
          <w:szCs w:val="28"/>
        </w:rPr>
        <w:t>稳步推进新型基础设施建设</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_Toc27474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69</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_Toc12532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加强信息网络基础设施建设</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_Toc12532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69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_Toc25995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构建新型智慧城市数据平台</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_Toc25995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70</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_Toc22785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推进新基建行业应用</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_Toc22785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71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_Toc9697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建设新能源汽车充电基础设施工程</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_Toc9697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72</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_Toc30890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第九章 </w:t>
      </w:r>
      <w:r>
        <w:rPr>
          <w:rFonts w:hint="default" w:ascii="Times New Roman" w:hAnsi="Times New Roman" w:eastAsia="仿宋_GB2312" w:cs="Times New Roman"/>
          <w:b/>
          <w:bCs/>
          <w:i w:val="0"/>
          <w:iCs w:val="0"/>
          <w:sz w:val="28"/>
          <w:szCs w:val="28"/>
        </w:rPr>
        <w:t>扎实推进新型城镇化建设</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_Toc30890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74</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_Toc1665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持续推进新型城镇化建设</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_Toc1665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74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_Toc29461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坚持城乡融合推动乡村振兴</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_Toc29461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75</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_Toc12542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持续巩固脱贫攻坚成果</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_Toc12542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78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_Toc23170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第十章 </w:t>
      </w:r>
      <w:r>
        <w:rPr>
          <w:rFonts w:hint="default" w:ascii="Times New Roman" w:hAnsi="Times New Roman" w:eastAsia="仿宋_GB2312" w:cs="Times New Roman"/>
          <w:b/>
          <w:bCs/>
          <w:i w:val="0"/>
          <w:iCs w:val="0"/>
          <w:sz w:val="28"/>
          <w:szCs w:val="28"/>
        </w:rPr>
        <w:t>全面推进重大工程建设</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_Toc23170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81</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_Toc10668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构建现代综合交通体系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_Toc10668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_Toc14528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提升供电保障能力</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_Toc14528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82</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_Toc14011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完善绿色能源利用体系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_Toc14011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_Toc6232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构筑现代化水利体系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_Toc6232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_Toc2371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第十一章 </w:t>
      </w:r>
      <w:r>
        <w:rPr>
          <w:rFonts w:hint="default" w:ascii="Times New Roman" w:hAnsi="Times New Roman" w:eastAsia="仿宋_GB2312" w:cs="Times New Roman"/>
          <w:b/>
          <w:bCs/>
          <w:i w:val="0"/>
          <w:iCs w:val="0"/>
          <w:sz w:val="28"/>
          <w:szCs w:val="28"/>
        </w:rPr>
        <w:t>奋力推进更高水平改革开放</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_Toc2371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85</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_Toc15339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lang w:val="en-GB"/>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lang w:val="en-GB"/>
        </w:rPr>
        <w:t>依托园区实现产业聚集</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_Toc15339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86</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_Toc32677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提高招商引资质量和水平</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_Toc32677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_Toc7571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着力扩大有效投资</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_Toc7571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_Toc21477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全力壮大民营经济</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_Toc21477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_Toc24142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第五节 </w:t>
      </w:r>
      <w:r>
        <w:rPr>
          <w:rFonts w:hint="default" w:ascii="Times New Roman" w:hAnsi="Times New Roman" w:eastAsia="仿宋_GB2312" w:cs="Times New Roman"/>
          <w:i w:val="0"/>
          <w:iCs w:val="0"/>
          <w:sz w:val="28"/>
          <w:szCs w:val="28"/>
        </w:rPr>
        <w:t>深化拓展吉浙合作</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_Toc24142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89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_Toc24044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第六节 </w:t>
      </w:r>
      <w:r>
        <w:rPr>
          <w:rFonts w:hint="default" w:ascii="Times New Roman" w:hAnsi="Times New Roman" w:eastAsia="仿宋_GB2312" w:cs="Times New Roman"/>
          <w:i w:val="0"/>
          <w:iCs w:val="0"/>
          <w:sz w:val="28"/>
          <w:szCs w:val="28"/>
        </w:rPr>
        <w:t>深入推进“放管服”改革</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_Toc24044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90</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9"/>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_Toc19894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第四篇 人民高品质生活篇</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_Toc19894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_Toc4313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第十二章 </w:t>
      </w:r>
      <w:r>
        <w:rPr>
          <w:rFonts w:hint="default" w:ascii="Times New Roman" w:hAnsi="Times New Roman" w:eastAsia="仿宋_GB2312" w:cs="Times New Roman"/>
          <w:b/>
          <w:bCs/>
          <w:i w:val="0"/>
          <w:iCs w:val="0"/>
          <w:sz w:val="28"/>
          <w:szCs w:val="28"/>
        </w:rPr>
        <w:t>提升教育发展水平</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_Toc4313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91</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_Toc13467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坚持“五育”并举，全面发展素质教育</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_Toc13467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_Toc21444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统筹各类教育协调发展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_Toc21444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_Toc8498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第十三章 </w:t>
      </w:r>
      <w:r>
        <w:rPr>
          <w:rFonts w:hint="default" w:ascii="Times New Roman" w:hAnsi="Times New Roman" w:eastAsia="仿宋_GB2312" w:cs="Times New Roman"/>
          <w:b/>
          <w:bCs/>
          <w:i w:val="0"/>
          <w:iCs w:val="0"/>
          <w:sz w:val="28"/>
          <w:szCs w:val="28"/>
        </w:rPr>
        <w:t>提升卫生应急能力和服务能力</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_Toc8498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96</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_Toc6554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提升应对突发重大公共卫生事件能力</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_Toc6554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_Toc10744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深化医药卫生体制改革</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_Toc10744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_Toc30986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提供优质医疗服务</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_Toc30986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99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_Toc1151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促进中医药事业健康发展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_Toc1151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_Toc19603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第五节 </w:t>
      </w:r>
      <w:r>
        <w:rPr>
          <w:rFonts w:hint="default" w:ascii="Times New Roman" w:hAnsi="Times New Roman" w:eastAsia="仿宋_GB2312" w:cs="Times New Roman"/>
          <w:i w:val="0"/>
          <w:iCs w:val="0"/>
          <w:sz w:val="28"/>
          <w:szCs w:val="28"/>
        </w:rPr>
        <w:t>加强重点人群健康服务</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_Toc19603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102</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_Toc30643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第十四章 </w:t>
      </w:r>
      <w:r>
        <w:rPr>
          <w:rFonts w:hint="default" w:ascii="Times New Roman" w:hAnsi="Times New Roman" w:eastAsia="仿宋_GB2312" w:cs="Times New Roman"/>
          <w:b/>
          <w:bCs/>
          <w:i w:val="0"/>
          <w:iCs w:val="0"/>
          <w:sz w:val="28"/>
          <w:szCs w:val="28"/>
        </w:rPr>
        <w:t>推进公共文化服务</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_Toc30643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103</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_Toc25643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全面提高文明素质</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_Toc25643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_Toc11626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大力弘扬传承优秀传统文化</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_Toc11626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_Toc23847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深入推进公共文化基础建设</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_Toc23847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105</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_Toc17713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组织开展群众文化体育活动</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_Toc17713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106</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_Toc6722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第五节 </w:t>
      </w:r>
      <w:r>
        <w:rPr>
          <w:rFonts w:hint="default" w:ascii="Times New Roman" w:hAnsi="Times New Roman" w:eastAsia="仿宋_GB2312" w:cs="Times New Roman"/>
          <w:i w:val="0"/>
          <w:iCs w:val="0"/>
          <w:sz w:val="28"/>
          <w:szCs w:val="28"/>
        </w:rPr>
        <w:t>切实加强文化遗产保护利用</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_Toc6722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_Toc23217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第六节 </w:t>
      </w:r>
      <w:r>
        <w:rPr>
          <w:rFonts w:hint="default" w:ascii="Times New Roman" w:hAnsi="Times New Roman" w:eastAsia="仿宋_GB2312" w:cs="Times New Roman"/>
          <w:i w:val="0"/>
          <w:iCs w:val="0"/>
          <w:sz w:val="28"/>
          <w:szCs w:val="28"/>
        </w:rPr>
        <w:t>加快推进媒体融合发展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_Toc23217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108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_Toc25844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第十五章 </w:t>
      </w:r>
      <w:r>
        <w:rPr>
          <w:rFonts w:hint="default" w:ascii="Times New Roman" w:hAnsi="Times New Roman" w:eastAsia="仿宋_GB2312" w:cs="Times New Roman"/>
          <w:b/>
          <w:bCs/>
          <w:i w:val="0"/>
          <w:iCs w:val="0"/>
          <w:sz w:val="28"/>
          <w:szCs w:val="28"/>
        </w:rPr>
        <w:t>补齐社会事业短板</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_Toc25844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110</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_Toc1064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提高城乡居民收入</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_Toc1064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110</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_Toc19072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实施就业创业扶持工程</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_Toc19072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110</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_Toc12749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bCs/>
          <w:i w:val="0"/>
          <w:iCs w:val="0"/>
          <w:sz w:val="28"/>
          <w:szCs w:val="28"/>
        </w:rPr>
        <w:t>完善社会保险体系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_Toc12749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_Toc6745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bCs/>
          <w:i w:val="0"/>
          <w:iCs w:val="0"/>
          <w:sz w:val="28"/>
          <w:szCs w:val="28"/>
        </w:rPr>
        <w:t>深化社会救助改革</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_Toc6745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112</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_Toc23822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第五节 </w:t>
      </w:r>
      <w:r>
        <w:rPr>
          <w:rFonts w:hint="default" w:ascii="Times New Roman" w:hAnsi="Times New Roman" w:eastAsia="仿宋_GB2312" w:cs="Times New Roman"/>
          <w:bCs/>
          <w:i w:val="0"/>
          <w:iCs w:val="0"/>
          <w:sz w:val="28"/>
          <w:szCs w:val="28"/>
        </w:rPr>
        <w:t>构建新型养老服务体系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_Toc23822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_Toc22737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第六节 </w:t>
      </w:r>
      <w:r>
        <w:rPr>
          <w:rFonts w:hint="default" w:ascii="Times New Roman" w:hAnsi="Times New Roman" w:eastAsia="仿宋_GB2312" w:cs="Times New Roman"/>
          <w:i w:val="0"/>
          <w:iCs w:val="0"/>
          <w:sz w:val="28"/>
          <w:szCs w:val="28"/>
        </w:rPr>
        <w:t>完善住房保障体系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_Toc22737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115</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_Toc12047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第七节 </w:t>
      </w:r>
      <w:r>
        <w:rPr>
          <w:rFonts w:hint="default" w:ascii="Times New Roman" w:hAnsi="Times New Roman" w:eastAsia="仿宋_GB2312" w:cs="Times New Roman"/>
          <w:i w:val="0"/>
          <w:iCs w:val="0"/>
          <w:sz w:val="28"/>
          <w:szCs w:val="28"/>
        </w:rPr>
        <w:t>促进人口均衡发展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_Toc12047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116</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9"/>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_Toc20533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第五篇 社会高效能治理篇</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_Toc20533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_Toc16338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第十六章 </w:t>
      </w:r>
      <w:r>
        <w:rPr>
          <w:rFonts w:hint="default" w:ascii="Times New Roman" w:hAnsi="Times New Roman" w:eastAsia="仿宋_GB2312" w:cs="Times New Roman"/>
          <w:b/>
          <w:bCs/>
          <w:i w:val="0"/>
          <w:iCs w:val="0"/>
          <w:sz w:val="28"/>
          <w:szCs w:val="28"/>
        </w:rPr>
        <w:t>提升政府治理能力</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_Toc16338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117</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_Toc31676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全面建设效能政府</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_Toc31676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117</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_Toc23534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完善基层社会治理体系</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_Toc23534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118</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_Toc8946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创新社会综合治理</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_Toc8946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119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_Toc27849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第十七章 </w:t>
      </w:r>
      <w:r>
        <w:rPr>
          <w:rFonts w:hint="default" w:ascii="Times New Roman" w:hAnsi="Times New Roman" w:eastAsia="仿宋_GB2312" w:cs="Times New Roman"/>
          <w:b/>
          <w:bCs/>
          <w:i w:val="0"/>
          <w:iCs w:val="0"/>
          <w:sz w:val="28"/>
          <w:szCs w:val="28"/>
        </w:rPr>
        <w:t>加强人才队伍建设</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_Toc27849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121</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_Toc29067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加强党政人才梯队建设</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_Toc29067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_Toc16288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优化教师队伍结构</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_Toc16288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_Toc30403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健全医疗卫生人才队伍</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_Toc30403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122</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_Toc2539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大力引进科技创新人才</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_Toc2539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_Toc4269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第十八章 </w:t>
      </w:r>
      <w:r>
        <w:rPr>
          <w:rFonts w:hint="default" w:ascii="Times New Roman" w:hAnsi="Times New Roman" w:eastAsia="仿宋_GB2312" w:cs="Times New Roman"/>
          <w:b/>
          <w:bCs/>
          <w:i w:val="0"/>
          <w:iCs w:val="0"/>
          <w:sz w:val="28"/>
          <w:szCs w:val="28"/>
        </w:rPr>
        <w:t>防范化解重大风险</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_Toc4269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124</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_Toc15847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防范化解生产领域重大风险</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_Toc15847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_Toc11049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防范化解生活领域重大风险</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_Toc11049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125</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_Toc6207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整体提升防灾减灾救灾能力</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_Toc6207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126</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_Toc14168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第十九章 </w:t>
      </w:r>
      <w:r>
        <w:rPr>
          <w:rFonts w:hint="default" w:ascii="Times New Roman" w:hAnsi="Times New Roman" w:eastAsia="仿宋_GB2312" w:cs="Times New Roman"/>
          <w:b/>
          <w:bCs/>
          <w:i w:val="0"/>
          <w:iCs w:val="0"/>
          <w:sz w:val="28"/>
          <w:szCs w:val="28"/>
        </w:rPr>
        <w:t>打好污染防治攻坚战</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_Toc14168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129</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_Toc22574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构建生态保护新格局</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_Toc22574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129</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_Toc10172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加强环境综合治理</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_Toc10172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130</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_Toc23956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rPr>
        <w:t>促进经济社会绿色发展</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_Toc23956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131</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22"/>
        <w:tabs>
          <w:tab w:val="right" w:leader="dot" w:pos="8307"/>
        </w:tabs>
        <w:spacing w:line="240" w:lineRule="auto"/>
        <w:rPr>
          <w:rFonts w:hint="default" w:ascii="Times New Roman" w:hAnsi="Times New Roman" w:eastAsia="仿宋_GB2312" w:cs="Times New Roman"/>
          <w:b/>
          <w:bCs/>
          <w:i w:val="0"/>
          <w:iCs w:val="0"/>
          <w:sz w:val="28"/>
          <w:szCs w:val="28"/>
        </w:rPr>
      </w:pP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HYPERLINK \l _Toc24179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caps w:val="0"/>
          <w:smallCaps w:val="0"/>
          <w:strike w:val="0"/>
          <w:dstrike w:val="0"/>
          <w:vanish w:val="0"/>
          <w:spacing w:val="0"/>
          <w:position w:val="0"/>
          <w:sz w:val="28"/>
          <w:szCs w:val="28"/>
          <w:vertAlign w:val="baseline"/>
          <w:lang w:val="zh-CN"/>
          <w14:shadow w14:blurRad="0" w14:dist="0" w14:dir="0" w14:sx="0" w14:sy="0" w14:kx="0" w14:ky="0" w14:algn="none">
            <w14:srgbClr w14:val="000000"/>
          </w14:shadow>
        </w:rPr>
        <w:t xml:space="preserve">第二十章 </w:t>
      </w:r>
      <w:r>
        <w:rPr>
          <w:rFonts w:hint="default" w:ascii="Times New Roman" w:hAnsi="Times New Roman" w:eastAsia="仿宋_GB2312" w:cs="Times New Roman"/>
          <w:b/>
          <w:bCs/>
          <w:i w:val="0"/>
          <w:iCs w:val="0"/>
          <w:sz w:val="28"/>
          <w:szCs w:val="28"/>
          <w:lang w:val="zh-CN"/>
        </w:rPr>
        <w:t>保障规划全面实施</w:t>
      </w:r>
      <w:r>
        <w:rPr>
          <w:rFonts w:hint="default" w:ascii="Times New Roman" w:hAnsi="Times New Roman" w:eastAsia="仿宋_GB2312" w:cs="Times New Roman"/>
          <w:b/>
          <w:bCs/>
          <w:i w:val="0"/>
          <w:iCs w:val="0"/>
          <w:sz w:val="28"/>
          <w:szCs w:val="28"/>
        </w:rPr>
        <w:tab/>
      </w:r>
      <w:r>
        <w:rPr>
          <w:rFonts w:hint="default" w:ascii="Times New Roman" w:hAnsi="Times New Roman" w:eastAsia="仿宋_GB2312" w:cs="Times New Roman"/>
          <w:b/>
          <w:bCs/>
          <w:i w:val="0"/>
          <w:iCs w:val="0"/>
          <w:sz w:val="28"/>
          <w:szCs w:val="28"/>
        </w:rPr>
        <w:fldChar w:fldCharType="begin"/>
      </w:r>
      <w:r>
        <w:rPr>
          <w:rFonts w:hint="default" w:ascii="Times New Roman" w:hAnsi="Times New Roman" w:eastAsia="仿宋_GB2312" w:cs="Times New Roman"/>
          <w:b/>
          <w:bCs/>
          <w:i w:val="0"/>
          <w:iCs w:val="0"/>
          <w:sz w:val="28"/>
          <w:szCs w:val="28"/>
        </w:rPr>
        <w:instrText xml:space="preserve"> PAGEREF _Toc24179 </w:instrText>
      </w:r>
      <w:r>
        <w:rPr>
          <w:rFonts w:hint="default" w:ascii="Times New Roman" w:hAnsi="Times New Roman" w:eastAsia="仿宋_GB2312" w:cs="Times New Roman"/>
          <w:b/>
          <w:bCs/>
          <w:i w:val="0"/>
          <w:iCs w:val="0"/>
          <w:sz w:val="28"/>
          <w:szCs w:val="28"/>
        </w:rPr>
        <w:fldChar w:fldCharType="separate"/>
      </w:r>
      <w:r>
        <w:rPr>
          <w:rFonts w:hint="default" w:ascii="Times New Roman" w:hAnsi="Times New Roman" w:eastAsia="仿宋_GB2312" w:cs="Times New Roman"/>
          <w:b/>
          <w:bCs/>
          <w:i w:val="0"/>
          <w:iCs w:val="0"/>
          <w:sz w:val="28"/>
          <w:szCs w:val="28"/>
        </w:rPr>
        <w:t>133</w:t>
      </w:r>
      <w:r>
        <w:rPr>
          <w:rFonts w:hint="default" w:ascii="Times New Roman" w:hAnsi="Times New Roman" w:eastAsia="仿宋_GB2312" w:cs="Times New Roman"/>
          <w:b/>
          <w:bCs/>
          <w:i w:val="0"/>
          <w:iCs w:val="0"/>
          <w:sz w:val="28"/>
          <w:szCs w:val="28"/>
        </w:rPr>
        <w:fldChar w:fldCharType="end"/>
      </w:r>
      <w:r>
        <w:rPr>
          <w:rFonts w:hint="default" w:ascii="Times New Roman" w:hAnsi="Times New Roman" w:eastAsia="仿宋_GB2312" w:cs="Times New Roman"/>
          <w:b/>
          <w:bCs/>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_Toc1236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第一节 </w:t>
      </w:r>
      <w:r>
        <w:rPr>
          <w:rFonts w:hint="default" w:ascii="Times New Roman" w:hAnsi="Times New Roman" w:eastAsia="仿宋_GB2312" w:cs="Times New Roman"/>
          <w:i w:val="0"/>
          <w:iCs w:val="0"/>
          <w:sz w:val="28"/>
          <w:szCs w:val="28"/>
        </w:rPr>
        <w:t>切实加强党的全面领导</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_Toc1236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133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_Toc9768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第二节 </w:t>
      </w:r>
      <w:r>
        <w:rPr>
          <w:rFonts w:hint="default" w:ascii="Times New Roman" w:hAnsi="Times New Roman" w:eastAsia="仿宋_GB2312" w:cs="Times New Roman"/>
          <w:i w:val="0"/>
          <w:iCs w:val="0"/>
          <w:sz w:val="28"/>
          <w:szCs w:val="28"/>
        </w:rPr>
        <w:t>充分调动一切积极因素</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_Toc9768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133</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_Toc5746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lang w:val="zh-CN"/>
          <w14:shadow w14:blurRad="0" w14:dist="0" w14:dir="0" w14:sx="0" w14:sy="0" w14:kx="0" w14:ky="0" w14:algn="none">
            <w14:srgbClr w14:val="000000"/>
          </w14:shadow>
        </w:rPr>
        <w:t xml:space="preserve">第三节 </w:t>
      </w:r>
      <w:r>
        <w:rPr>
          <w:rFonts w:hint="default" w:ascii="Times New Roman" w:hAnsi="Times New Roman" w:eastAsia="仿宋_GB2312" w:cs="Times New Roman"/>
          <w:i w:val="0"/>
          <w:iCs w:val="0"/>
          <w:sz w:val="28"/>
          <w:szCs w:val="28"/>
          <w:lang w:val="zh-CN"/>
        </w:rPr>
        <w:t>强化要素保障</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_Toc5746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134</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pStyle w:val="14"/>
        <w:tabs>
          <w:tab w:val="right" w:leader="dot" w:pos="8307"/>
        </w:tabs>
        <w:spacing w:line="240" w:lineRule="auto"/>
        <w:rPr>
          <w:rFonts w:hint="default" w:ascii="Times New Roman" w:hAnsi="Times New Roman" w:eastAsia="仿宋_GB2312" w:cs="Times New Roman"/>
          <w:i w:val="0"/>
          <w:iCs w:val="0"/>
          <w:sz w:val="28"/>
          <w:szCs w:val="28"/>
        </w:rPr>
      </w:pP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HYPERLINK \l _Toc21426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caps w:val="0"/>
          <w:smallCaps w:val="0"/>
          <w:strike w:val="0"/>
          <w:dstrike w:val="0"/>
          <w:vanish w:val="0"/>
          <w:spacing w:val="0"/>
          <w:position w:val="0"/>
          <w:sz w:val="28"/>
          <w:szCs w:val="28"/>
          <w:vertAlign w:val="baseline"/>
          <w14:shadow w14:blurRad="0" w14:dist="0" w14:dir="0" w14:sx="0" w14:sy="0" w14:kx="0" w14:ky="0" w14:algn="none">
            <w14:srgbClr w14:val="000000"/>
          </w14:shadow>
        </w:rPr>
        <w:t xml:space="preserve">第四节 </w:t>
      </w:r>
      <w:r>
        <w:rPr>
          <w:rFonts w:hint="default" w:ascii="Times New Roman" w:hAnsi="Times New Roman" w:eastAsia="仿宋_GB2312" w:cs="Times New Roman"/>
          <w:i w:val="0"/>
          <w:iCs w:val="0"/>
          <w:sz w:val="28"/>
          <w:szCs w:val="28"/>
        </w:rPr>
        <w:t>做好规划组织落实</w:t>
      </w:r>
      <w:r>
        <w:rPr>
          <w:rFonts w:hint="default" w:ascii="Times New Roman" w:hAnsi="Times New Roman" w:eastAsia="仿宋_GB2312" w:cs="Times New Roman"/>
          <w:i w:val="0"/>
          <w:iCs w:val="0"/>
          <w:sz w:val="28"/>
          <w:szCs w:val="28"/>
        </w:rPr>
        <w:tab/>
      </w:r>
      <w:r>
        <w:rPr>
          <w:rFonts w:hint="default" w:ascii="Times New Roman" w:hAnsi="Times New Roman" w:eastAsia="仿宋_GB2312" w:cs="Times New Roman"/>
          <w:i w:val="0"/>
          <w:iCs w:val="0"/>
          <w:sz w:val="28"/>
          <w:szCs w:val="28"/>
        </w:rPr>
        <w:fldChar w:fldCharType="begin"/>
      </w:r>
      <w:r>
        <w:rPr>
          <w:rFonts w:hint="default" w:ascii="Times New Roman" w:hAnsi="Times New Roman" w:eastAsia="仿宋_GB2312" w:cs="Times New Roman"/>
          <w:i w:val="0"/>
          <w:iCs w:val="0"/>
          <w:sz w:val="28"/>
          <w:szCs w:val="28"/>
        </w:rPr>
        <w:instrText xml:space="preserve"> PAGEREF _Toc21426 </w:instrText>
      </w:r>
      <w:r>
        <w:rPr>
          <w:rFonts w:hint="default" w:ascii="Times New Roman" w:hAnsi="Times New Roman" w:eastAsia="仿宋_GB2312" w:cs="Times New Roman"/>
          <w:i w:val="0"/>
          <w:iCs w:val="0"/>
          <w:sz w:val="28"/>
          <w:szCs w:val="28"/>
        </w:rPr>
        <w:fldChar w:fldCharType="separate"/>
      </w:r>
      <w:r>
        <w:rPr>
          <w:rFonts w:hint="default" w:ascii="Times New Roman" w:hAnsi="Times New Roman" w:eastAsia="仿宋_GB2312" w:cs="Times New Roman"/>
          <w:i w:val="0"/>
          <w:iCs w:val="0"/>
          <w:sz w:val="28"/>
          <w:szCs w:val="28"/>
        </w:rPr>
        <w:t>136</w:t>
      </w:r>
      <w:r>
        <w:rPr>
          <w:rFonts w:hint="default" w:ascii="Times New Roman" w:hAnsi="Times New Roman" w:eastAsia="仿宋_GB2312" w:cs="Times New Roman"/>
          <w:i w:val="0"/>
          <w:iCs w:val="0"/>
          <w:sz w:val="28"/>
          <w:szCs w:val="28"/>
        </w:rPr>
        <w:fldChar w:fldCharType="end"/>
      </w:r>
      <w:r>
        <w:rPr>
          <w:rFonts w:hint="default" w:ascii="Times New Roman" w:hAnsi="Times New Roman" w:eastAsia="仿宋_GB2312" w:cs="Times New Roman"/>
          <w:i w:val="0"/>
          <w:iCs w:val="0"/>
          <w:sz w:val="28"/>
          <w:szCs w:val="28"/>
        </w:rPr>
        <w:fldChar w:fldCharType="end"/>
      </w:r>
    </w:p>
    <w:p>
      <w:pPr>
        <w:spacing w:line="240" w:lineRule="auto"/>
        <w:rPr>
          <w:rFonts w:hint="eastAsia" w:ascii="仿宋" w:hAnsi="仿宋" w:eastAsia="仿宋" w:cs="仿宋"/>
          <w:i w:val="0"/>
          <w:iCs w:val="0"/>
          <w:sz w:val="24"/>
          <w:szCs w:val="24"/>
        </w:rPr>
        <w:sectPr>
          <w:headerReference r:id="rId7" w:type="default"/>
          <w:footerReference r:id="rId8" w:type="default"/>
          <w:pgSz w:w="11907" w:h="16839"/>
          <w:pgMar w:top="2041" w:right="1531" w:bottom="2041" w:left="1531" w:header="851" w:footer="992" w:gutter="0"/>
          <w:pgNumType w:fmt="decimal"/>
          <w:cols w:space="425" w:num="1"/>
          <w:docGrid w:type="lines" w:linePitch="326" w:charSpace="0"/>
        </w:sectPr>
      </w:pPr>
      <w:r>
        <w:rPr>
          <w:rFonts w:hint="default" w:ascii="Times New Roman" w:hAnsi="Times New Roman" w:eastAsia="仿宋_GB2312" w:cs="Times New Roman"/>
          <w:i w:val="0"/>
          <w:iCs w:val="0"/>
          <w:sz w:val="28"/>
          <w:szCs w:val="28"/>
        </w:rPr>
        <w:fldChar w:fldCharType="end"/>
      </w:r>
    </w:p>
    <w:p>
      <w:pPr>
        <w:pageBreakBefore w:val="0"/>
        <w:kinsoku/>
        <w:wordWrap/>
        <w:overflowPunct/>
        <w:topLinePunct w:val="0"/>
        <w:autoSpaceDE/>
        <w:autoSpaceDN/>
        <w:bidi w:val="0"/>
        <w:snapToGrid/>
        <w:spacing w:line="560" w:lineRule="exact"/>
        <w:ind w:left="0" w:leftChars="0" w:firstLine="640" w:firstLineChars="200"/>
        <w:textAlignment w:val="auto"/>
        <w:rPr>
          <w:rFonts w:hint="default" w:ascii="Times New Roman" w:hAnsi="Times New Roman" w:eastAsia="仿宋_GB2312" w:cs="Times New Roman"/>
          <w:sz w:val="32"/>
          <w:szCs w:val="32"/>
          <w:shd w:val="clear" w:color="auto" w:fill="FFFFFF"/>
        </w:rPr>
      </w:pPr>
      <w:bookmarkStart w:id="0" w:name="_Toc54275581"/>
      <w:bookmarkStart w:id="1" w:name="_Toc55314867"/>
      <w:r>
        <w:rPr>
          <w:rFonts w:hint="default" w:ascii="Times New Roman" w:hAnsi="Times New Roman" w:eastAsia="仿宋_GB2312" w:cs="Times New Roman"/>
          <w:sz w:val="32"/>
          <w:szCs w:val="32"/>
          <w:shd w:val="clear" w:color="auto" w:fill="FFFFFF"/>
          <w:lang w:eastAsia="zh-CN"/>
        </w:rPr>
        <w:t>蛟河市国民经济和社会发展第十四个五年（</w:t>
      </w:r>
      <w:r>
        <w:rPr>
          <w:rFonts w:hint="default" w:ascii="Times New Roman" w:hAnsi="Times New Roman" w:eastAsia="仿宋_GB2312" w:cs="Times New Roman"/>
          <w:sz w:val="32"/>
          <w:szCs w:val="32"/>
          <w:shd w:val="clear" w:color="auto" w:fill="FFFFFF"/>
          <w:lang w:val="en-US" w:eastAsia="zh-CN"/>
        </w:rPr>
        <w:t>2021—2025年</w:t>
      </w:r>
      <w:r>
        <w:rPr>
          <w:rFonts w:hint="default" w:ascii="Times New Roman" w:hAnsi="Times New Roman" w:eastAsia="仿宋_GB2312" w:cs="Times New Roman"/>
          <w:sz w:val="32"/>
          <w:szCs w:val="32"/>
          <w:shd w:val="clear" w:color="auto" w:fill="FFFFFF"/>
          <w:lang w:eastAsia="zh-CN"/>
        </w:rPr>
        <w:t>）规划和</w:t>
      </w:r>
      <w:r>
        <w:rPr>
          <w:rFonts w:hint="default" w:ascii="Times New Roman" w:hAnsi="Times New Roman" w:eastAsia="仿宋_GB2312" w:cs="Times New Roman"/>
          <w:sz w:val="32"/>
          <w:szCs w:val="32"/>
          <w:shd w:val="clear" w:color="auto" w:fill="FFFFFF"/>
          <w:lang w:val="en-US" w:eastAsia="zh-CN"/>
        </w:rPr>
        <w:t>2035年远景目标纲要，根据《中共蛟河市委关于制定蛟河市国民经济和社会发展第十四个五年规划和二〇三五年远景目标的建议》编制</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主要阐述市委战略意图，明确政府工作重点，引导规范市场主体行为。规划的实施</w:t>
      </w:r>
      <w:r>
        <w:rPr>
          <w:rFonts w:hint="default" w:ascii="Times New Roman" w:hAnsi="Times New Roman" w:eastAsia="仿宋_GB2312" w:cs="Times New Roman"/>
          <w:sz w:val="32"/>
          <w:szCs w:val="32"/>
          <w:shd w:val="clear" w:color="auto" w:fill="FFFFFF"/>
        </w:rPr>
        <w:t>有助于我市加快调整经济结构</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深化产业布局、转变经济发展方式、提升科技创新能力、构建现代化城市</w:t>
      </w:r>
      <w:r>
        <w:rPr>
          <w:rFonts w:hint="default" w:ascii="Times New Roman" w:hAnsi="Times New Roman" w:eastAsia="仿宋_GB2312" w:cs="Times New Roman"/>
          <w:sz w:val="32"/>
          <w:szCs w:val="32"/>
          <w:shd w:val="clear" w:color="auto" w:fill="FFFFFF"/>
          <w:lang w:eastAsia="zh-CN"/>
        </w:rPr>
        <w:t>，是</w:t>
      </w:r>
      <w:r>
        <w:rPr>
          <w:rFonts w:hint="default" w:ascii="Times New Roman" w:hAnsi="Times New Roman" w:eastAsia="仿宋_GB2312" w:cs="Times New Roman"/>
          <w:sz w:val="32"/>
          <w:szCs w:val="32"/>
          <w:shd w:val="clear" w:color="auto" w:fill="FFFFFF"/>
        </w:rPr>
        <w:t>建设富裕、和谐、美丽、活力、幸福“五个蛟河”的重要纲领性文件和抓手。</w:t>
      </w:r>
    </w:p>
    <w:p>
      <w:pPr>
        <w:pStyle w:val="2"/>
        <w:rPr>
          <w:rFonts w:hint="default"/>
          <w:b w:val="0"/>
          <w:bCs w:val="0"/>
        </w:rPr>
      </w:pPr>
    </w:p>
    <w:p>
      <w:pPr>
        <w:pStyle w:val="3"/>
        <w:pageBreakBefore w:val="0"/>
        <w:kinsoku/>
        <w:wordWrap/>
        <w:overflowPunct/>
        <w:topLinePunct w:val="0"/>
        <w:autoSpaceDE/>
        <w:autoSpaceDN/>
        <w:bidi w:val="0"/>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 w:name="_Toc60232813"/>
      <w:bookmarkStart w:id="3" w:name="_Toc21024"/>
      <w:r>
        <w:rPr>
          <w:rFonts w:hint="eastAsia" w:ascii="方正小标宋简体" w:hAnsi="方正小标宋简体" w:eastAsia="方正小标宋简体" w:cs="方正小标宋简体"/>
          <w:b w:val="0"/>
          <w:bCs w:val="0"/>
          <w:sz w:val="32"/>
          <w:szCs w:val="32"/>
        </w:rPr>
        <w:t>“十三五”总结</w:t>
      </w:r>
      <w:bookmarkEnd w:id="0"/>
      <w:bookmarkEnd w:id="1"/>
      <w:r>
        <w:rPr>
          <w:rFonts w:hint="eastAsia" w:ascii="方正小标宋简体" w:hAnsi="方正小标宋简体" w:eastAsia="方正小标宋简体" w:cs="方正小标宋简体"/>
          <w:b w:val="0"/>
          <w:bCs w:val="0"/>
          <w:sz w:val="32"/>
          <w:szCs w:val="32"/>
        </w:rPr>
        <w:t>篇</w:t>
      </w:r>
      <w:bookmarkEnd w:id="2"/>
      <w:bookmarkEnd w:id="3"/>
    </w:p>
    <w:p>
      <w:pPr>
        <w:pStyle w:val="4"/>
        <w:pageBreakBefore w:val="0"/>
        <w:kinsoku/>
        <w:wordWrap/>
        <w:overflowPunct/>
        <w:topLinePunct w:val="0"/>
        <w:autoSpaceDE/>
        <w:autoSpaceDN/>
        <w:bidi w:val="0"/>
        <w:snapToGrid/>
        <w:spacing w:beforeLines="0" w:afterLines="0" w:line="560" w:lineRule="exact"/>
        <w:ind w:left="0"/>
        <w:textAlignment w:val="auto"/>
        <w:rPr>
          <w:rFonts w:hint="eastAsia"/>
          <w:b w:val="0"/>
          <w:bCs w:val="0"/>
        </w:rPr>
      </w:pPr>
      <w:bookmarkStart w:id="4" w:name="_Toc54275582"/>
      <w:bookmarkStart w:id="5" w:name="_Toc55314868"/>
      <w:bookmarkStart w:id="6" w:name="_Toc60232814"/>
      <w:bookmarkStart w:id="7" w:name="_Toc21706"/>
      <w:r>
        <w:rPr>
          <w:rFonts w:hint="eastAsia" w:ascii="方正小标宋简体" w:hAnsi="方正小标宋简体" w:eastAsia="方正小标宋简体" w:cs="方正小标宋简体"/>
          <w:b w:val="0"/>
          <w:bCs w:val="0"/>
          <w:sz w:val="32"/>
          <w:szCs w:val="32"/>
        </w:rPr>
        <w:t>“十三五”总结与回顾</w:t>
      </w:r>
      <w:bookmarkEnd w:id="4"/>
      <w:bookmarkEnd w:id="5"/>
      <w:bookmarkEnd w:id="6"/>
      <w:bookmarkEnd w:id="7"/>
    </w:p>
    <w:p>
      <w:pPr>
        <w:pStyle w:val="5"/>
        <w:pageBreakBefore w:val="0"/>
        <w:kinsoku/>
        <w:wordWrap/>
        <w:overflowPunct/>
        <w:topLinePunct w:val="0"/>
        <w:autoSpaceDE/>
        <w:autoSpaceDN/>
        <w:bidi w:val="0"/>
        <w:snapToGrid/>
        <w:spacing w:before="0" w:beforeLines="0" w:after="0" w:afterLines="0" w:line="560" w:lineRule="exact"/>
        <w:ind w:left="0"/>
        <w:textAlignment w:val="auto"/>
        <w:rPr>
          <w:rFonts w:hint="default" w:ascii="方正小标宋简体" w:hAnsi="方正小标宋简体" w:eastAsia="方正小标宋简体" w:cs="方正小标宋简体"/>
          <w:b w:val="0"/>
          <w:bCs w:val="0"/>
          <w:kern w:val="2"/>
          <w:sz w:val="32"/>
          <w:szCs w:val="32"/>
          <w:lang w:val="en-US" w:eastAsia="zh-CN" w:bidi="ar-SA"/>
        </w:rPr>
      </w:pPr>
      <w:bookmarkStart w:id="8" w:name="_Toc20300"/>
      <w:bookmarkStart w:id="9" w:name="_Toc55314869"/>
      <w:r>
        <w:rPr>
          <w:rFonts w:hint="default" w:ascii="方正小标宋简体" w:hAnsi="方正小标宋简体" w:eastAsia="方正小标宋简体" w:cs="方正小标宋简体"/>
          <w:b w:val="0"/>
          <w:bCs w:val="0"/>
          <w:kern w:val="2"/>
          <w:sz w:val="32"/>
          <w:szCs w:val="32"/>
          <w:lang w:val="en-US" w:eastAsia="zh-CN" w:bidi="ar-SA"/>
        </w:rPr>
        <w:t>发展基础</w:t>
      </w:r>
      <w:bookmarkEnd w:id="8"/>
      <w:bookmarkEnd w:id="9"/>
    </w:p>
    <w:p>
      <w:pPr>
        <w:rPr>
          <w:rFonts w:hint="default"/>
          <w:lang w:val="en-US" w:eastAsia="zh-CN"/>
        </w:rPr>
      </w:pP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三五”时期是全面建成小康社会决胜阶段。面对错综复杂的国际形势、艰巨繁重的国内改革发展稳定任务，蛟河市在以习近平同志为核心的党中央坚强领导下，在中共吉林省委的带领下，如期完成全面建设小康社会的奋斗目标，</w:t>
      </w:r>
      <w:r>
        <w:rPr>
          <w:rFonts w:hint="default" w:ascii="Times New Roman" w:hAnsi="Times New Roman" w:eastAsia="仿宋_GB2312" w:cs="Times New Roman"/>
          <w:sz w:val="32"/>
          <w:szCs w:val="32"/>
          <w:lang w:val="zh-CN"/>
        </w:rPr>
        <w:t>为“十四五”发展奠定了坚实基础。</w:t>
      </w:r>
    </w:p>
    <w:p>
      <w:pPr>
        <w:pStyle w:val="6"/>
        <w:pageBreakBefore w:val="0"/>
        <w:numPr>
          <w:ilvl w:val="0"/>
          <w:numId w:val="0"/>
        </w:numPr>
        <w:kinsoku/>
        <w:wordWrap/>
        <w:overflowPunct/>
        <w:topLinePunct w:val="0"/>
        <w:autoSpaceDE/>
        <w:autoSpaceDN/>
        <w:bidi w:val="0"/>
        <w:snapToGrid/>
        <w:spacing w:before="0" w:after="0" w:line="560" w:lineRule="exact"/>
        <w:ind w:left="140" w:leftChars="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 xml:space="preserve">  一、</w:t>
      </w:r>
      <w:r>
        <w:rPr>
          <w:rFonts w:hint="eastAsia" w:ascii="黑体" w:hAnsi="黑体" w:eastAsia="黑体" w:cs="黑体"/>
          <w:b w:val="0"/>
          <w:bCs w:val="0"/>
          <w:sz w:val="32"/>
          <w:szCs w:val="32"/>
        </w:rPr>
        <w:t>经济保持平稳增长</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zh-CN"/>
        </w:rPr>
        <w:t>优化结构、提高质量、降低消耗、保护环境的基础上，实现经济平稳发展。立足结构升级，医药健康、绿色石材、长白山特产品、新能源等产业成为推动我市经济发展的新引擎，引进建设了中国北部（蛟河）石材循环经济产业园、中科院苏州医工所蛟河创新产业园等主导产业转型升级项目。农业供给侧结构性改革成效显著，食用菌、粘玉米、晒烟、生猪、肉牛等特色产业发展初具规模，黄松甸镇、白石山镇获评全国农业产业强镇。工业产业结构逐步优化，初步形成医药健康、长白山特产品加工、石材加工和新能源新材料四大市域工业板块，全市工业循环低碳、园区聚集、规模集群发展趋势逐步形成，产值超10亿元企业达到2户。</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 xml:space="preserve">城乡建设统筹推进 </w:t>
      </w:r>
      <w:r>
        <w:rPr>
          <w:rFonts w:hint="default" w:ascii="Times New Roman" w:hAnsi="Times New Roman" w:eastAsia="仿宋_GB2312" w:cs="Times New Roman"/>
          <w:sz w:val="32"/>
          <w:szCs w:val="32"/>
        </w:rPr>
        <w:t xml:space="preserve">                                                     </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基本形成以市区为龙头，以三个中心镇（天岗、新站和白石山镇）为发展极，以东西、南北交通干线为主轴的城镇格局，基础设施不断完善。</w:t>
      </w:r>
      <w:r>
        <w:rPr>
          <w:rFonts w:hint="default" w:ascii="Times New Roman" w:hAnsi="Times New Roman" w:eastAsia="仿宋_GB2312" w:cs="Times New Roman"/>
          <w:sz w:val="32"/>
          <w:szCs w:val="32"/>
        </w:rPr>
        <w:t>蛟河大街等51条100.3万平方米城区道路升级黑色路面，新增停车位5360个，停车难顽疾基本解决。煤矿搬迁区“三供一业”、长安小区等43个老旧小区完成改造，东山片等6个片区实施棚改，城区人均住房面积增加2.1平方米。</w:t>
      </w:r>
      <w:r>
        <w:rPr>
          <w:rFonts w:hint="default" w:ascii="Times New Roman" w:hAnsi="Times New Roman" w:eastAsia="仿宋_GB2312" w:cs="Times New Roman"/>
          <w:bCs/>
          <w:sz w:val="32"/>
          <w:szCs w:val="32"/>
        </w:rPr>
        <w:t>团山子水利枢纽工程投入使用，</w:t>
      </w:r>
      <w:r>
        <w:rPr>
          <w:rFonts w:hint="default" w:ascii="Times New Roman" w:hAnsi="Times New Roman" w:eastAsia="仿宋_GB2312" w:cs="Times New Roman"/>
          <w:sz w:val="32"/>
          <w:szCs w:val="32"/>
        </w:rPr>
        <w:t>完成城区自来水净水、供水泵站和供水设施改造，主城区实现24小</w:t>
      </w:r>
      <w:r>
        <w:rPr>
          <w:rFonts w:hint="default" w:ascii="Times New Roman" w:hAnsi="Times New Roman" w:eastAsia="仿宋_GB2312" w:cs="Times New Roman"/>
          <w:sz w:val="32"/>
          <w:szCs w:val="32"/>
          <w:lang w:eastAsia="zh-CN"/>
        </w:rPr>
        <w:t>时</w:t>
      </w:r>
      <w:r>
        <w:rPr>
          <w:rFonts w:hint="default" w:ascii="Times New Roman" w:hAnsi="Times New Roman" w:eastAsia="仿宋_GB2312" w:cs="Times New Roman"/>
          <w:sz w:val="32"/>
          <w:szCs w:val="32"/>
        </w:rPr>
        <w:t>供水。新改建各级公路739公里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危桥117座，自然屯通硬化率提高16.5%。创建庆岭冰酒等2个省级特色小镇，乡镇政府所在地基础设施完成改建，城乡承载</w:t>
      </w:r>
      <w:r>
        <w:rPr>
          <w:rFonts w:hint="default" w:ascii="Times New Roman" w:hAnsi="Times New Roman" w:eastAsia="仿宋_GB2312" w:cs="Times New Roman"/>
          <w:sz w:val="32"/>
          <w:szCs w:val="32"/>
          <w:lang w:eastAsia="zh-CN"/>
        </w:rPr>
        <w:t>功能</w:t>
      </w:r>
      <w:r>
        <w:rPr>
          <w:rFonts w:hint="default" w:ascii="Times New Roman" w:hAnsi="Times New Roman" w:eastAsia="仿宋_GB2312" w:cs="Times New Roman"/>
          <w:sz w:val="32"/>
          <w:szCs w:val="32"/>
        </w:rPr>
        <w:t>整体提高。</w:t>
      </w:r>
    </w:p>
    <w:p>
      <w:pPr>
        <w:pStyle w:val="6"/>
        <w:pageBreakBefore w:val="0"/>
        <w:numPr>
          <w:ilvl w:val="0"/>
          <w:numId w:val="0"/>
        </w:numPr>
        <w:kinsoku/>
        <w:wordWrap/>
        <w:overflowPunct/>
        <w:topLinePunct w:val="0"/>
        <w:autoSpaceDE/>
        <w:autoSpaceDN/>
        <w:bidi w:val="0"/>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乡村振兴深入实施</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持续推进种植业结构调整，实施耕地轮作试点，粮食产量稳定在85万吨水平。白石山镇被评为国家级烟叶产业强镇，黄松甸镇晋升为国家级特色农产品优势区，“互联网+”农产品出村进城国家级试点县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吉林市级以上农业产业化龙头企业达到31户，</w:t>
      </w:r>
      <w:r>
        <w:rPr>
          <w:rFonts w:hint="default" w:ascii="Times New Roman" w:hAnsi="Times New Roman" w:eastAsia="仿宋_GB2312" w:cs="Times New Roman"/>
          <w:sz w:val="32"/>
          <w:szCs w:val="32"/>
          <w:lang w:val="zh-CN"/>
        </w:rPr>
        <w:t>特色产业产值占农业总产值比重大幅提高。</w:t>
      </w:r>
      <w:r>
        <w:rPr>
          <w:rFonts w:hint="default" w:ascii="Times New Roman" w:hAnsi="Times New Roman" w:eastAsia="仿宋_GB2312" w:cs="Times New Roman"/>
          <w:sz w:val="32"/>
          <w:szCs w:val="32"/>
        </w:rPr>
        <w:t>高标准农田和农田水利“最后一公里”项目全面启动，累计</w:t>
      </w:r>
      <w:r>
        <w:rPr>
          <w:rFonts w:hint="default" w:ascii="Times New Roman" w:hAnsi="Times New Roman" w:eastAsia="仿宋_GB2312" w:cs="Times New Roman"/>
          <w:sz w:val="32"/>
          <w:szCs w:val="32"/>
          <w:lang w:eastAsia="zh-CN"/>
        </w:rPr>
        <w:t>建设</w:t>
      </w:r>
      <w:r>
        <w:rPr>
          <w:rFonts w:hint="default" w:ascii="Times New Roman" w:hAnsi="Times New Roman" w:eastAsia="仿宋_GB2312" w:cs="Times New Roman"/>
          <w:sz w:val="32"/>
          <w:szCs w:val="32"/>
        </w:rPr>
        <w:t>高标准农田39.4万亩，占基本农田面积的25%。现代畜牧业发展壮大，全市培育国家云平台备案规模养殖场181个。</w:t>
      </w:r>
      <w:r>
        <w:rPr>
          <w:rFonts w:hint="default" w:ascii="Times New Roman" w:hAnsi="Times New Roman" w:eastAsia="仿宋_GB2312" w:cs="Times New Roman"/>
          <w:bCs/>
          <w:sz w:val="32"/>
          <w:szCs w:val="32"/>
        </w:rPr>
        <w:t>美丽乡村建设初见成效</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sz w:val="32"/>
          <w:szCs w:val="32"/>
          <w:lang w:val="zh-CN"/>
        </w:rPr>
        <w:t>“一十百千”工程扎实推进，</w:t>
      </w:r>
      <w:r>
        <w:rPr>
          <w:rFonts w:hint="default" w:ascii="Times New Roman" w:hAnsi="Times New Roman" w:eastAsia="仿宋_GB2312" w:cs="Times New Roman"/>
          <w:sz w:val="32"/>
          <w:szCs w:val="32"/>
        </w:rPr>
        <w:t>沿302国道和222国道建设天岗镇</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河南街、新站-漂河2个业兴村美样板区，打造美丽乡村示范村86个，其中省级10个、吉林市级26个，富江村被评为全国最美传统村落并成功入选第四批中国传统村落。</w:t>
      </w:r>
    </w:p>
    <w:p>
      <w:pPr>
        <w:pageBreakBefore w:val="0"/>
        <w:kinsoku/>
        <w:wordWrap/>
        <w:overflowPunct/>
        <w:topLinePunct w:val="0"/>
        <w:autoSpaceDE/>
        <w:autoSpaceDN/>
        <w:bidi w:val="0"/>
        <w:snapToGrid/>
        <w:spacing w:line="560" w:lineRule="exact"/>
        <w:ind w:left="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生态建设强力推进</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lang w:val="zh-CN"/>
        </w:rPr>
        <w:t>扎实推进污染防治攻坚，坚定不移打好蓝天、碧水、青山、黑土地保卫战。完成河湖黑臭水体治理，近4000公顷松花湖水淹地全面整治。城区建成区10蒸吨及以下燃煤锅炉全部淘汰，20蒸吨及以上锅炉整改达标。城区污水处理完成扩建，日处理污水达量到4万立方米，天岗等四个重点镇污水处理厂建成运行。</w:t>
      </w:r>
      <w:r>
        <w:rPr>
          <w:rFonts w:hint="default" w:ascii="Times New Roman" w:hAnsi="Times New Roman" w:eastAsia="仿宋_GB2312" w:cs="Times New Roman"/>
          <w:sz w:val="32"/>
          <w:szCs w:val="32"/>
        </w:rPr>
        <w:t>13个乡镇街建设垃圾中转站，农村生活垃圾实现统一运转处理，三年治理成效荣获全省第二名。全面</w:t>
      </w:r>
      <w:r>
        <w:rPr>
          <w:rFonts w:hint="default" w:ascii="Times New Roman" w:hAnsi="Times New Roman" w:eastAsia="仿宋_GB2312" w:cs="Times New Roman"/>
          <w:bCs/>
          <w:sz w:val="32"/>
          <w:szCs w:val="32"/>
          <w:lang w:val="zh-CN"/>
        </w:rPr>
        <w:t>推行“河长制”，扎实开展河湖“清四乱”攻坚，</w:t>
      </w:r>
      <w:r>
        <w:rPr>
          <w:rFonts w:hint="default" w:ascii="Times New Roman" w:hAnsi="Times New Roman" w:eastAsia="仿宋_GB2312" w:cs="Times New Roman"/>
          <w:bCs/>
          <w:sz w:val="32"/>
          <w:szCs w:val="32"/>
        </w:rPr>
        <w:t>地表水和集中式饮用水水源地水质达到III类以上</w:t>
      </w:r>
      <w:r>
        <w:rPr>
          <w:rFonts w:hint="default" w:ascii="Times New Roman" w:hAnsi="Times New Roman" w:eastAsia="仿宋_GB2312" w:cs="Times New Roman"/>
          <w:bCs/>
          <w:sz w:val="32"/>
          <w:szCs w:val="32"/>
          <w:lang w:val="zh-CN"/>
        </w:rPr>
        <w:t>；持续开展矿山整治，复绿石材矿山69公顷，治理废弃矿山71座。</w:t>
      </w:r>
      <w:r>
        <w:rPr>
          <w:rFonts w:hint="default" w:ascii="Times New Roman" w:hAnsi="Times New Roman" w:eastAsia="仿宋_GB2312" w:cs="Times New Roman"/>
          <w:sz w:val="32"/>
          <w:szCs w:val="32"/>
        </w:rPr>
        <w:t>全面实施生态修复和保护工程，国有林场停止天然林商业性采伐。</w:t>
      </w:r>
      <w:r>
        <w:rPr>
          <w:rFonts w:hint="default" w:ascii="Times New Roman" w:hAnsi="Times New Roman" w:eastAsia="仿宋_GB2312" w:cs="Times New Roman"/>
          <w:bCs/>
          <w:sz w:val="32"/>
          <w:szCs w:val="32"/>
        </w:rPr>
        <w:t>城区空气环境质量达到二级标准，空气质量优良天数</w:t>
      </w:r>
      <w:r>
        <w:rPr>
          <w:rFonts w:hint="default" w:ascii="Times New Roman" w:hAnsi="Times New Roman" w:eastAsia="仿宋_GB2312" w:cs="Times New Roman"/>
          <w:bCs/>
          <w:sz w:val="32"/>
          <w:szCs w:val="32"/>
          <w:lang w:eastAsia="zh-CN"/>
        </w:rPr>
        <w:t>占</w:t>
      </w:r>
      <w:r>
        <w:rPr>
          <w:rFonts w:hint="default" w:ascii="Times New Roman" w:hAnsi="Times New Roman" w:eastAsia="仿宋_GB2312" w:cs="Times New Roman"/>
          <w:bCs/>
          <w:sz w:val="32"/>
          <w:szCs w:val="32"/>
          <w:lang w:val="en-US" w:eastAsia="zh-CN"/>
        </w:rPr>
        <w:t>83%</w:t>
      </w:r>
      <w:r>
        <w:rPr>
          <w:rFonts w:hint="default" w:ascii="Times New Roman" w:hAnsi="Times New Roman" w:eastAsia="仿宋_GB2312" w:cs="Times New Roman"/>
          <w:bCs/>
          <w:sz w:val="32"/>
          <w:szCs w:val="32"/>
        </w:rPr>
        <w:t>，细颗粒物（PM2.5）浓度比2015年下降18%以上</w:t>
      </w:r>
      <w:r>
        <w:rPr>
          <w:rFonts w:hint="default" w:ascii="Times New Roman" w:hAnsi="Times New Roman" w:eastAsia="仿宋_GB2312" w:cs="Times New Roman"/>
          <w:bCs/>
          <w:sz w:val="32"/>
          <w:szCs w:val="32"/>
          <w:lang w:val="zh-CN"/>
        </w:rPr>
        <w:t>，主要污染物排放量比“十二五”期末大幅降低，</w:t>
      </w:r>
      <w:r>
        <w:rPr>
          <w:rFonts w:hint="default" w:ascii="Times New Roman" w:hAnsi="Times New Roman" w:eastAsia="仿宋_GB2312" w:cs="Times New Roman"/>
          <w:sz w:val="32"/>
          <w:szCs w:val="32"/>
        </w:rPr>
        <w:t>生态环境改善成效显著。各类生态环境保护指标达到国家考核要求。</w:t>
      </w:r>
    </w:p>
    <w:p>
      <w:pPr>
        <w:pageBreakBefore w:val="0"/>
        <w:kinsoku/>
        <w:wordWrap/>
        <w:overflowPunct/>
        <w:topLinePunct w:val="0"/>
        <w:autoSpaceDE/>
        <w:autoSpaceDN/>
        <w:bidi w:val="0"/>
        <w:snapToGrid/>
        <w:spacing w:line="560" w:lineRule="exact"/>
        <w:ind w:left="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民生改善成果丰硕</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扎实推进各类民生重点工程，社会保障体系逐步完善，科技教育、医疗卫生迈上新台阶，人民生活水平和质量进一步提升。坚持教育优先发展，松江镇九年制等39处教学设施完成建设，全市中小学理化及科学实验装备达到省定标准，办学条件明显改善。医疗卫生体制</w:t>
      </w:r>
      <w:r>
        <w:rPr>
          <w:rFonts w:hint="default" w:ascii="Times New Roman" w:hAnsi="Times New Roman" w:eastAsia="仿宋_GB2312" w:cs="Times New Roman"/>
          <w:sz w:val="32"/>
          <w:szCs w:val="32"/>
          <w:lang w:eastAsia="zh-CN"/>
        </w:rPr>
        <w:t>改革</w:t>
      </w:r>
      <w:r>
        <w:rPr>
          <w:rFonts w:hint="default" w:ascii="Times New Roman" w:hAnsi="Times New Roman" w:eastAsia="仿宋_GB2312" w:cs="Times New Roman"/>
          <w:sz w:val="32"/>
          <w:szCs w:val="32"/>
        </w:rPr>
        <w:t>纵深推进，先诊疗后付费模式高效运行，中医院异址新建等3个项目投入使用，全国基层中医药工作先进单位通过复审。村级文体设施实现全覆盖。蛟河广播电视台</w:t>
      </w:r>
      <w:r>
        <w:rPr>
          <w:rFonts w:hint="default" w:ascii="Times New Roman" w:hAnsi="Times New Roman" w:eastAsia="仿宋_GB2312" w:cs="Times New Roman"/>
          <w:sz w:val="32"/>
          <w:szCs w:val="32"/>
          <w:lang w:eastAsia="zh-CN"/>
        </w:rPr>
        <w:t>连续</w:t>
      </w:r>
      <w:r>
        <w:rPr>
          <w:rFonts w:hint="default" w:ascii="Times New Roman" w:hAnsi="Times New Roman" w:eastAsia="仿宋_GB2312" w:cs="Times New Roman"/>
          <w:sz w:val="32"/>
          <w:szCs w:val="32"/>
        </w:rPr>
        <w:t>三年获评全国20强市县电视台。蝉联省级双拥模范城“七连冠”。城镇累计新增就业3.3万人，城镇登记失业率控制在4.5%以内，转移农村劳动力45.6万人次，荣获省级农民工返乡创业示范县、全国农村创新典型示范县。城乡居民医疗保险参保率达到9</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以上。企业职工基本养老保险实现省级统筹，城乡居民养老保险参保人数达13.7万人。城镇常住居民人均可支配收入达到25583元，农村常住居民人均可支配收入达到16056元，分别是2015年的1.34倍、1.39倍。多措并举实施精准扶贫，25个贫困村、4138户8014名建档立卡农村贫困人口全部脱贫，年人均收入由2207元提高到10</w:t>
      </w:r>
      <w:r>
        <w:rPr>
          <w:rFonts w:hint="default" w:ascii="Times New Roman" w:hAnsi="Times New Roman" w:eastAsia="仿宋_GB2312" w:cs="Times New Roman"/>
          <w:sz w:val="32"/>
          <w:szCs w:val="32"/>
          <w:lang w:val="en-US" w:eastAsia="zh-CN"/>
        </w:rPr>
        <w:t>970</w:t>
      </w:r>
      <w:r>
        <w:rPr>
          <w:rFonts w:hint="default" w:ascii="Times New Roman" w:hAnsi="Times New Roman" w:eastAsia="仿宋_GB2312" w:cs="Times New Roman"/>
          <w:sz w:val="32"/>
          <w:szCs w:val="32"/>
        </w:rPr>
        <w:t>元。</w:t>
      </w:r>
    </w:p>
    <w:p>
      <w:pPr>
        <w:pageBreakBefore w:val="0"/>
        <w:kinsoku/>
        <w:wordWrap/>
        <w:overflowPunct/>
        <w:topLinePunct w:val="0"/>
        <w:autoSpaceDE/>
        <w:autoSpaceDN/>
        <w:bidi w:val="0"/>
        <w:snapToGrid/>
        <w:spacing w:line="560" w:lineRule="exact"/>
        <w:ind w:left="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深化改革提高效能</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政府机构改革平稳推进，深入实施“放管服”、“最多跑一次”等改革，行政许可取消22项，承接187项，行政审批中介服务由90项压减到55项，企业投资项目审批时间压缩至81个工作日。“统一受理、集约服务”办事模式高效运行，1451项政务服务事项集中办理，“最多跑一次”、无差别综合窗口、政务服务事项网上办件率分别提高到95.4%、99%、93.7%。社会信用体系全面建立，诚信指数排名全国第49位。供销社、粮食流通等领域改革稳步实施，国有林场改革脱困突围。2017年以来各级环保督察、转办信访案件全部整改，守住了不发生系统性、区域性风险的底线。深入开展农业农村改革，</w:t>
      </w:r>
      <w:r>
        <w:rPr>
          <w:rFonts w:hint="default" w:ascii="Times New Roman" w:hAnsi="Times New Roman" w:eastAsia="仿宋_GB2312" w:cs="Times New Roman"/>
          <w:sz w:val="32"/>
          <w:szCs w:val="32"/>
        </w:rPr>
        <w:t>农村土地确权登记工作基本完成</w:t>
      </w:r>
      <w:r>
        <w:rPr>
          <w:rFonts w:hint="default" w:ascii="Times New Roman" w:hAnsi="Times New Roman" w:eastAsia="仿宋_GB2312" w:cs="Times New Roman"/>
          <w:sz w:val="32"/>
          <w:szCs w:val="32"/>
          <w:lang w:val="zh-CN"/>
        </w:rPr>
        <w:t>，农村生产要素活力有效释放。</w:t>
      </w:r>
    </w:p>
    <w:p>
      <w:pPr>
        <w:pageBreakBefore w:val="0"/>
        <w:kinsoku/>
        <w:wordWrap/>
        <w:overflowPunct/>
        <w:topLinePunct w:val="0"/>
        <w:autoSpaceDE/>
        <w:autoSpaceDN/>
        <w:bidi w:val="0"/>
        <w:snapToGrid/>
        <w:spacing w:line="560" w:lineRule="exact"/>
        <w:ind w:left="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zh-CN"/>
        </w:rPr>
        <w:t>七、</w:t>
      </w:r>
      <w:r>
        <w:rPr>
          <w:rFonts w:hint="eastAsia" w:ascii="黑体" w:hAnsi="黑体" w:eastAsia="黑体" w:cs="黑体"/>
          <w:b w:val="0"/>
          <w:bCs w:val="0"/>
          <w:sz w:val="32"/>
          <w:szCs w:val="32"/>
        </w:rPr>
        <w:t>平安蛟河建设成效显著</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深化社会治安防控体系建设，新建城区视频监控探头500个、农村视频监控探头420个。全面落实安全生产责任制，平安蛟河建设成效显著。关停打处投资类中介公司13家，严格管控债务增量，妥善化解债务存量。全面推进依法治市和法治蛟河建设，有效化解信访积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住建领域、退役军人等一大批历史遗留问题</w:t>
      </w:r>
      <w:r>
        <w:rPr>
          <w:rFonts w:hint="default" w:ascii="Times New Roman" w:hAnsi="Times New Roman" w:eastAsia="仿宋_GB2312" w:cs="Times New Roman"/>
          <w:sz w:val="32"/>
          <w:szCs w:val="32"/>
          <w:lang w:eastAsia="zh-CN"/>
        </w:rPr>
        <w:t>得到解决</w:t>
      </w:r>
      <w:r>
        <w:rPr>
          <w:rFonts w:hint="default" w:ascii="Times New Roman" w:hAnsi="Times New Roman" w:eastAsia="仿宋_GB2312" w:cs="Times New Roman"/>
          <w:sz w:val="32"/>
          <w:szCs w:val="32"/>
        </w:rPr>
        <w:t>。加大食品药品安全监管，公共应急能力明显提升。扫黑</w:t>
      </w:r>
      <w:r>
        <w:rPr>
          <w:rFonts w:hint="default" w:ascii="Times New Roman" w:hAnsi="Times New Roman" w:eastAsia="仿宋_GB2312" w:cs="Times New Roman"/>
          <w:sz w:val="32"/>
          <w:szCs w:val="32"/>
          <w:lang w:eastAsia="zh-CN"/>
        </w:rPr>
        <w:t>除</w:t>
      </w:r>
      <w:r>
        <w:rPr>
          <w:rFonts w:hint="default" w:ascii="Times New Roman" w:hAnsi="Times New Roman" w:eastAsia="仿宋_GB2312" w:cs="Times New Roman"/>
          <w:sz w:val="32"/>
          <w:szCs w:val="32"/>
        </w:rPr>
        <w:t>恶专项斗争三年目标如期完成。克服2020年新冠疫情挑战，打好打赢疫情防控阻击战，常态化防控体制机制超前启动、高效运转，筑起疫情防控坚固防线，社会安全稳定局面持续巩固。</w:t>
      </w:r>
    </w:p>
    <w:p>
      <w:pPr>
        <w:pStyle w:val="5"/>
        <w:pageBreakBefore w:val="0"/>
        <w:kinsoku/>
        <w:wordWrap/>
        <w:overflowPunct/>
        <w:topLinePunct w:val="0"/>
        <w:autoSpaceDE/>
        <w:autoSpaceDN/>
        <w:bidi w:val="0"/>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0" w:name="_Toc55314870"/>
      <w:bookmarkStart w:id="11" w:name="_Toc504"/>
      <w:r>
        <w:rPr>
          <w:rFonts w:hint="eastAsia" w:ascii="方正小标宋简体" w:hAnsi="方正小标宋简体" w:eastAsia="方正小标宋简体" w:cs="方正小标宋简体"/>
          <w:b w:val="0"/>
          <w:bCs w:val="0"/>
          <w:sz w:val="32"/>
          <w:szCs w:val="32"/>
        </w:rPr>
        <w:t>发展环境</w:t>
      </w:r>
      <w:bookmarkEnd w:id="10"/>
      <w:bookmarkEnd w:id="11"/>
    </w:p>
    <w:p>
      <w:pPr>
        <w:rPr>
          <w:rFonts w:hint="eastAsia"/>
        </w:rPr>
      </w:pPr>
    </w:p>
    <w:p>
      <w:pPr>
        <w:pageBreakBefore w:val="0"/>
        <w:kinsoku/>
        <w:wordWrap/>
        <w:overflowPunct/>
        <w:topLinePunct w:val="0"/>
        <w:autoSpaceDE/>
        <w:autoSpaceDN/>
        <w:bidi w:val="0"/>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shd w:val="clear" w:color="auto" w:fill="FFFFFF"/>
        </w:rPr>
        <w:t>从国际看，</w:t>
      </w:r>
      <w:r>
        <w:rPr>
          <w:rFonts w:hint="default" w:ascii="Times New Roman" w:hAnsi="Times New Roman" w:eastAsia="仿宋_GB2312" w:cs="Times New Roman"/>
          <w:sz w:val="32"/>
          <w:szCs w:val="32"/>
        </w:rPr>
        <w:t>当今世界正经历百年未有之大变局，新一轮科技革命和产业变革深入发展，国际力量对比深刻调整，和平与发展仍然是时代主题，人类命运共同体理念深入人心。同时，世界经济形势仍然复杂严峻，复苏不稳定不平衡，疫情冲击导致的各类衍生风险不容忽视。大国博弈、地缘政治影响等不确定性因素明显增强，世界进入动荡变革期。经济全球化遭遇逆流，国际经贸规则面临重构。全球治理体系有望延续变革趋势，各国协调合作与博弈竞争并存。</w:t>
      </w:r>
    </w:p>
    <w:p>
      <w:pPr>
        <w:pageBreakBefore w:val="0"/>
        <w:kinsoku/>
        <w:wordWrap/>
        <w:overflowPunct/>
        <w:topLinePunct w:val="0"/>
        <w:autoSpaceDE/>
        <w:autoSpaceDN/>
        <w:bidi w:val="0"/>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从我国看，</w:t>
      </w:r>
      <w:r>
        <w:rPr>
          <w:rFonts w:hint="default" w:ascii="Times New Roman" w:hAnsi="Times New Roman" w:eastAsia="仿宋_GB2312" w:cs="Times New Roman"/>
          <w:sz w:val="32"/>
          <w:szCs w:val="32"/>
        </w:rPr>
        <w:t>当前经济形势仍然复杂严峻，疫情变化和外部环境存在诸多不确定性，我国经济恢复基础尚不牢固。不稳定性不确定性较大，我国遇到的很多问题是中长期的，必须从持久战的角度加以认识，加快形成以国内大循环为主体、国内国际双循环相互促进的新发展格局。不断提升产业链供应链现代化水平，大力推动科技创新水平。坚持扩大内需这个战略基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充分挖掘县乡消费潜力。</w:t>
      </w:r>
    </w:p>
    <w:p>
      <w:pPr>
        <w:pageBreakBefore w:val="0"/>
        <w:kinsoku/>
        <w:wordWrap/>
        <w:overflowPunct/>
        <w:topLinePunct w:val="0"/>
        <w:autoSpaceDE/>
        <w:autoSpaceDN/>
        <w:bidi w:val="0"/>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同时，随着中国特色社会主义进入新时代，我国社会主要矛盾发生变化，发展不平衡不充分问题仍然突出，人民日益增长的美好生活需要明显提高。重点领域关键环节改革任务仍然艰巨，创新能力不适应高质量发展要求，农业基础还不稳固，城乡区域发展和收入分配差距较大，生态环保任重道远，民生保障存在短板，社会治理还有弱项。</w:t>
      </w:r>
    </w:p>
    <w:p>
      <w:pPr>
        <w:pStyle w:val="55"/>
        <w:pageBreakBefore w:val="0"/>
        <w:kinsoku/>
        <w:wordWrap/>
        <w:overflowPunct/>
        <w:topLinePunct w:val="0"/>
        <w:autoSpaceDE/>
        <w:autoSpaceDN/>
        <w:bidi w:val="0"/>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从全省看，</w:t>
      </w:r>
      <w:r>
        <w:rPr>
          <w:rFonts w:hint="default" w:ascii="Times New Roman" w:hAnsi="Times New Roman" w:eastAsia="仿宋_GB2312" w:cs="Times New Roman"/>
          <w:sz w:val="32"/>
          <w:szCs w:val="32"/>
          <w:shd w:val="clear" w:color="auto" w:fill="FFFFFF"/>
        </w:rPr>
        <w:t>以习近平同志为核心的党中央高度重视东北振兴和吉林发展，赋予的战略地位不断提升，给予的支持力度持续加大，东北振兴的政策机遇、新发展格局的融入机遇</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产业升级的趋势机遇持续汇聚。全省将勇于承担“新担当、新突破、新作为”的重大职责使命，扛稳维护国家国防安全、粮食安全、生态安全、能源安全、产业安全的重大政治责任，深入实施“三个五”战略，持续推动中东西“三大板块”协调发展，持续性推进“一主、六双”产业空间布局向纵深发展，</w:t>
      </w:r>
      <w:r>
        <w:rPr>
          <w:rFonts w:hint="default" w:ascii="Times New Roman" w:hAnsi="Times New Roman" w:eastAsia="仿宋_GB2312" w:cs="Times New Roman"/>
          <w:sz w:val="32"/>
          <w:szCs w:val="32"/>
        </w:rPr>
        <w:t>推进“长白通（长春、白山、通化）”和“长吉珲（长春、吉林、珲春）”大通道建设，从吉林省内陆沿南北向、东西向融入渤海、日本海等海洋经济圈通道建设，进一步释放经济社会发展活力。</w:t>
      </w:r>
    </w:p>
    <w:p>
      <w:pPr>
        <w:pStyle w:val="55"/>
        <w:pageBreakBefore w:val="0"/>
        <w:kinsoku/>
        <w:wordWrap/>
        <w:overflowPunct/>
        <w:topLinePunct w:val="0"/>
        <w:autoSpaceDE/>
        <w:autoSpaceDN/>
        <w:bidi w:val="0"/>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从吉林市看，</w:t>
      </w:r>
      <w:r>
        <w:rPr>
          <w:rFonts w:hint="default" w:ascii="Times New Roman" w:hAnsi="Times New Roman" w:eastAsia="仿宋_GB2312" w:cs="Times New Roman"/>
          <w:sz w:val="32"/>
          <w:szCs w:val="32"/>
        </w:rPr>
        <w:t>持续推进长吉、长平一体化协同发展，落实“四六四五”发展战略部署，</w:t>
      </w:r>
      <w:r>
        <w:rPr>
          <w:rStyle w:val="56"/>
          <w:rFonts w:hint="default" w:ascii="Times New Roman" w:hAnsi="Times New Roman" w:eastAsia="仿宋_GB2312" w:cs="Times New Roman"/>
          <w:sz w:val="32"/>
          <w:szCs w:val="32"/>
        </w:rPr>
        <w:t>紧抓</w:t>
      </w:r>
      <w:r>
        <w:rPr>
          <w:rFonts w:hint="default" w:ascii="Times New Roman" w:hAnsi="Times New Roman" w:eastAsia="仿宋_GB2312" w:cs="Times New Roman"/>
          <w:sz w:val="32"/>
          <w:szCs w:val="32"/>
        </w:rPr>
        <w:t>冰雪经济高质量发展试验区建设的机遇，落实全省提出的建设国家级冰雪经济高质量发展试验区，着力打造世界级冰雪旅游目的地的要求，将创新链、产业链、资金链紧密结合起来，推动重点产业稳定发展。抢抓项目建设“窗口期”，加大招商引资力度，把服务发展作为重要支撑，加大服务市场主体力度，创新服务举措，打造一流的营商环境。</w:t>
      </w:r>
    </w:p>
    <w:p>
      <w:pPr>
        <w:pStyle w:val="55"/>
        <w:pageBreakBefore w:val="0"/>
        <w:kinsoku/>
        <w:wordWrap/>
        <w:overflowPunct/>
        <w:topLinePunct w:val="0"/>
        <w:autoSpaceDE/>
        <w:autoSpaceDN/>
        <w:bidi w:val="0"/>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从蛟河看，</w:t>
      </w:r>
      <w:r>
        <w:rPr>
          <w:rFonts w:hint="default" w:ascii="Times New Roman" w:hAnsi="Times New Roman" w:eastAsia="仿宋_GB2312" w:cs="Times New Roman"/>
          <w:sz w:val="32"/>
          <w:szCs w:val="32"/>
        </w:rPr>
        <w:t>充分发挥区域优势、特色资源、产业基础、生态环境等方面优势，加</w:t>
      </w:r>
      <w:r>
        <w:rPr>
          <w:rStyle w:val="56"/>
          <w:rFonts w:hint="default" w:ascii="Times New Roman" w:hAnsi="Times New Roman" w:eastAsia="仿宋_GB2312" w:cs="Times New Roman"/>
          <w:sz w:val="32"/>
          <w:szCs w:val="32"/>
        </w:rPr>
        <w:t>快全面</w:t>
      </w:r>
      <w:r>
        <w:rPr>
          <w:rFonts w:hint="default" w:ascii="Times New Roman" w:hAnsi="Times New Roman" w:eastAsia="仿宋_GB2312" w:cs="Times New Roman"/>
          <w:sz w:val="32"/>
          <w:szCs w:val="32"/>
        </w:rPr>
        <w:t>振兴全方位振兴。石材资源富足，生产要素充沛，区位</w:t>
      </w:r>
      <w:r>
        <w:rPr>
          <w:rFonts w:hint="default" w:ascii="Times New Roman" w:hAnsi="Times New Roman" w:eastAsia="仿宋_GB2312" w:cs="Times New Roman"/>
          <w:sz w:val="32"/>
          <w:szCs w:val="32"/>
          <w:lang w:eastAsia="zh-CN"/>
        </w:rPr>
        <w:t>优势明显</w:t>
      </w:r>
      <w:r>
        <w:rPr>
          <w:rFonts w:hint="default" w:ascii="Times New Roman" w:hAnsi="Times New Roman" w:eastAsia="仿宋_GB2312" w:cs="Times New Roman"/>
          <w:sz w:val="32"/>
          <w:szCs w:val="32"/>
        </w:rPr>
        <w:t>，交通条件便利，处于“长吉图开发开放”的重要位置，为新一轮动能转换发展提供了广阔空间。旅游优势突出，文化底蕴深厚，生态资源优越，拉法山、红叶谷、松花湖等特色山水人文资源为文化旅游发展提供了</w:t>
      </w:r>
      <w:r>
        <w:rPr>
          <w:rFonts w:hint="default" w:ascii="Times New Roman" w:hAnsi="Times New Roman" w:eastAsia="仿宋_GB2312" w:cs="Times New Roman"/>
          <w:sz w:val="32"/>
          <w:szCs w:val="32"/>
          <w:lang w:eastAsia="zh-CN"/>
        </w:rPr>
        <w:t>重要支撑</w:t>
      </w:r>
      <w:r>
        <w:rPr>
          <w:rFonts w:hint="default" w:ascii="Times New Roman" w:hAnsi="Times New Roman" w:eastAsia="仿宋_GB2312" w:cs="Times New Roman"/>
          <w:sz w:val="32"/>
          <w:szCs w:val="32"/>
        </w:rPr>
        <w:t>，全域旅游发展进入新常态，将成为经济发展新引擎。转型优势显著，医药健康、新能源新材料、旅游商贸</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长白山特产品加工四大经济发展动力源产业发展势头</w:t>
      </w:r>
      <w:r>
        <w:rPr>
          <w:rFonts w:hint="default" w:ascii="Times New Roman" w:hAnsi="Times New Roman" w:eastAsia="仿宋_GB2312" w:cs="Times New Roman"/>
          <w:sz w:val="32"/>
          <w:szCs w:val="32"/>
          <w:lang w:eastAsia="zh-CN"/>
        </w:rPr>
        <w:t>较好</w:t>
      </w:r>
      <w:r>
        <w:rPr>
          <w:rFonts w:hint="default" w:ascii="Times New Roman" w:hAnsi="Times New Roman" w:eastAsia="仿宋_GB2312" w:cs="Times New Roman"/>
          <w:sz w:val="32"/>
          <w:szCs w:val="32"/>
        </w:rPr>
        <w:t>，路网、水网、电网、通信网等基础设施建设全面升级。这些优势条件，为我市在“十四五”时期全面振兴提供了发展动力。</w:t>
      </w:r>
    </w:p>
    <w:p>
      <w:pPr>
        <w:pageBreakBefore w:val="0"/>
        <w:kinsoku/>
        <w:wordWrap/>
        <w:overflowPunct/>
        <w:topLinePunct w:val="0"/>
        <w:autoSpaceDE/>
        <w:autoSpaceDN/>
        <w:bidi w:val="0"/>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同时我们必须看到，我市产业转型仍处于初始阶段，主导产业支撑作用不强，农业特色产业精深加工能力薄弱，旅游受同质化影响发展不快，教育、医疗等优质服务供给能力不足，人口外溢趋势加剧。必须切实增强机遇意识和风险意识，保持战略定力，发扬斗争精神，坚持问题导向，树立底线思维，准确识变、科学应变、主动求变，善于在危机中育新机、于变局中开新局，抓住机遇，应对挑战，推动新时代蛟河全面振兴全方位振兴取得新的更大突破。</w:t>
      </w:r>
    </w:p>
    <w:p>
      <w:pPr>
        <w:pageBreakBefore w:val="0"/>
        <w:widowControl/>
        <w:kinsoku/>
        <w:wordWrap/>
        <w:overflowPunct/>
        <w:topLinePunct w:val="0"/>
        <w:autoSpaceDE/>
        <w:autoSpaceDN/>
        <w:bidi w:val="0"/>
        <w:snapToGrid/>
        <w:spacing w:line="560" w:lineRule="exact"/>
        <w:ind w:left="0" w:firstLine="0"/>
        <w:jc w:val="left"/>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br w:type="page"/>
      </w:r>
    </w:p>
    <w:p>
      <w:pPr>
        <w:pStyle w:val="3"/>
        <w:pageBreakBefore w:val="0"/>
        <w:kinsoku/>
        <w:wordWrap/>
        <w:overflowPunct/>
        <w:topLinePunct w:val="0"/>
        <w:autoSpaceDE/>
        <w:autoSpaceDN/>
        <w:bidi w:val="0"/>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2" w:name="_Toc17992"/>
      <w:bookmarkStart w:id="13" w:name="_Toc60232815"/>
      <w:bookmarkStart w:id="14" w:name="_Toc54275583"/>
      <w:bookmarkStart w:id="15" w:name="_Toc55314871"/>
      <w:r>
        <w:rPr>
          <w:rFonts w:hint="eastAsia" w:ascii="方正小标宋简体" w:hAnsi="方正小标宋简体" w:eastAsia="方正小标宋简体" w:cs="方正小标宋简体"/>
          <w:b w:val="0"/>
          <w:bCs w:val="0"/>
          <w:sz w:val="32"/>
          <w:szCs w:val="32"/>
        </w:rPr>
        <w:t>“十四五”展望篇</w:t>
      </w:r>
      <w:bookmarkEnd w:id="12"/>
      <w:bookmarkEnd w:id="13"/>
    </w:p>
    <w:p>
      <w:pPr>
        <w:pStyle w:val="4"/>
        <w:pageBreakBefore w:val="0"/>
        <w:kinsoku/>
        <w:wordWrap/>
        <w:overflowPunct/>
        <w:topLinePunct w:val="0"/>
        <w:autoSpaceDE/>
        <w:autoSpaceDN/>
        <w:bidi w:val="0"/>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6" w:name="_Toc23436"/>
      <w:bookmarkStart w:id="17" w:name="_Toc60232816"/>
      <w:r>
        <w:rPr>
          <w:rFonts w:hint="eastAsia" w:ascii="方正小标宋简体" w:hAnsi="方正小标宋简体" w:eastAsia="方正小标宋简体" w:cs="方正小标宋简体"/>
          <w:b w:val="0"/>
          <w:bCs w:val="0"/>
          <w:sz w:val="32"/>
          <w:szCs w:val="32"/>
          <w:lang w:eastAsia="zh-CN"/>
        </w:rPr>
        <w:t>发展思路</w:t>
      </w:r>
      <w:r>
        <w:rPr>
          <w:rFonts w:hint="eastAsia" w:ascii="方正小标宋简体" w:hAnsi="方正小标宋简体" w:eastAsia="方正小标宋简体" w:cs="方正小标宋简体"/>
          <w:b w:val="0"/>
          <w:bCs w:val="0"/>
          <w:sz w:val="32"/>
          <w:szCs w:val="32"/>
        </w:rPr>
        <w:t>和发展目标</w:t>
      </w:r>
      <w:bookmarkEnd w:id="14"/>
      <w:bookmarkEnd w:id="15"/>
      <w:bookmarkEnd w:id="16"/>
      <w:bookmarkEnd w:id="17"/>
    </w:p>
    <w:p>
      <w:pPr>
        <w:pStyle w:val="5"/>
        <w:pageBreakBefore w:val="0"/>
        <w:numPr>
          <w:ilvl w:val="0"/>
          <w:numId w:val="8"/>
        </w:numPr>
        <w:kinsoku/>
        <w:wordWrap/>
        <w:overflowPunct/>
        <w:topLinePunct w:val="0"/>
        <w:autoSpaceDE/>
        <w:autoSpaceDN/>
        <w:bidi w:val="0"/>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8" w:name="_Toc20372"/>
      <w:r>
        <w:rPr>
          <w:rFonts w:hint="eastAsia" w:ascii="方正小标宋简体" w:hAnsi="方正小标宋简体" w:eastAsia="方正小标宋简体" w:cs="方正小标宋简体"/>
          <w:b w:val="0"/>
          <w:bCs w:val="0"/>
          <w:sz w:val="32"/>
          <w:szCs w:val="32"/>
          <w:lang w:eastAsia="zh-CN"/>
        </w:rPr>
        <w:t>指导思想</w:t>
      </w:r>
      <w:bookmarkEnd w:id="18"/>
    </w:p>
    <w:p>
      <w:pPr>
        <w:rPr>
          <w:rFonts w:hint="eastAsia"/>
        </w:rPr>
      </w:pPr>
    </w:p>
    <w:p>
      <w:pPr>
        <w:pageBreakBefore w:val="0"/>
        <w:kinsoku/>
        <w:wordWrap/>
        <w:overflowPunct/>
        <w:topLinePunct w:val="0"/>
        <w:autoSpaceDE/>
        <w:autoSpaceDN/>
        <w:bidi w:val="0"/>
        <w:snapToGrid/>
        <w:spacing w:line="560" w:lineRule="exact"/>
        <w:ind w:left="0" w:firstLine="640" w:firstLineChars="200"/>
        <w:textAlignment w:val="auto"/>
        <w:rPr>
          <w:rFonts w:hint="default" w:ascii="Times New Roman" w:hAnsi="Times New Roman" w:eastAsia="仿宋_GB2312" w:cs="Times New Roman"/>
          <w:sz w:val="32"/>
          <w:szCs w:val="32"/>
          <w:lang w:val="zh-CN"/>
        </w:rPr>
      </w:pPr>
      <w:bookmarkStart w:id="19" w:name="_Hlk55227532"/>
      <w:r>
        <w:rPr>
          <w:rFonts w:hint="default" w:ascii="Times New Roman" w:hAnsi="Times New Roman" w:eastAsia="仿宋_GB2312" w:cs="Times New Roman"/>
          <w:sz w:val="32"/>
          <w:szCs w:val="32"/>
          <w:lang w:val="zh-CN"/>
        </w:rPr>
        <w:t>以习近平总书记关于东北振兴和视察吉林重要讲话重要指示为统领，深入贯彻党的十九大和十九届二中、三中、四中、五中全会精神，全面落实省委十一届八次全会和吉林市委十三届十次全会部署，统筹推进“五位一体”总体布局，协调推进“四个全面”战略布局，全面把握新发展阶段</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zh-CN"/>
        </w:rPr>
        <w:t>坚定不移贯彻新发展理念，</w:t>
      </w:r>
      <w:r>
        <w:rPr>
          <w:rFonts w:hint="default" w:ascii="Times New Roman" w:hAnsi="Times New Roman" w:eastAsia="仿宋_GB2312" w:cs="Times New Roman"/>
          <w:sz w:val="32"/>
          <w:szCs w:val="32"/>
          <w:lang w:val="zh-CN" w:eastAsia="zh-CN"/>
        </w:rPr>
        <w:t>积极融入</w:t>
      </w:r>
      <w:r>
        <w:rPr>
          <w:rFonts w:hint="default" w:ascii="Times New Roman" w:hAnsi="Times New Roman" w:eastAsia="仿宋_GB2312" w:cs="Times New Roman"/>
          <w:sz w:val="32"/>
          <w:szCs w:val="32"/>
          <w:lang w:val="zh-CN"/>
        </w:rPr>
        <w:t>以国内大循环为主体、国内国际双循环相互促进的新发展格局，坚持稳中求进工作总基调，以推动高质量发展为主题，以深化供给侧结构性改革为主线，以改革创新为根本动力，以扩大内需释放消费潜力为战略基点，以满足人民日益增长的美好生活需要为根本目的。</w:t>
      </w:r>
    </w:p>
    <w:p>
      <w:pPr>
        <w:pageBreakBefore w:val="0"/>
        <w:kinsoku/>
        <w:wordWrap/>
        <w:overflowPunct/>
        <w:topLinePunct w:val="0"/>
        <w:autoSpaceDE/>
        <w:autoSpaceDN/>
        <w:bidi w:val="0"/>
        <w:snapToGrid/>
        <w:spacing w:line="560" w:lineRule="exact"/>
        <w:ind w:left="0"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立足蛟河市实际情况，发挥比较优势，紧紧抓住推进东北振兴发展的历史机遇，全面落实 “三个五”战略，持续推动中东西“三大板块”协调发展，有效融入全省“一主、六双”产业空间布局中，深入对接吉林市国家级冰雪经济高质量发展试验区的建设。大力实施“54321”发展战略，努力在服务发展大局中体现新担当，在走出质量更高、效益更好、结构更优、优势充分释放的发展新路上实现新突破，在加快推动蛟河全面振兴全方位振兴的征程上展现新作为。</w:t>
      </w:r>
    </w:p>
    <w:p>
      <w:pPr>
        <w:pageBreakBefore w:val="0"/>
        <w:widowControl w:val="0"/>
        <w:kinsoku/>
        <w:wordWrap/>
        <w:overflowPunct/>
        <w:topLinePunct w:val="0"/>
        <w:autoSpaceDE/>
        <w:autoSpaceDN/>
        <w:bidi w:val="0"/>
        <w:adjustRightInd w:val="0"/>
        <w:snapToGrid/>
        <w:spacing w:line="560" w:lineRule="exact"/>
        <w:ind w:left="0" w:firstLine="640" w:firstLineChars="200"/>
        <w:textAlignment w:val="auto"/>
        <w:rPr>
          <w:rFonts w:hint="default" w:ascii="Times New Roman" w:hAnsi="Times New Roman" w:eastAsia="仿宋_GB2312" w:cs="Times New Roman"/>
          <w:sz w:val="32"/>
          <w:szCs w:val="32"/>
          <w:lang w:val="zh-CN"/>
        </w:rPr>
      </w:pPr>
      <w:bookmarkStart w:id="20" w:name="_Hlk59954445"/>
      <w:r>
        <w:rPr>
          <w:rFonts w:hint="default" w:ascii="Times New Roman" w:hAnsi="Times New Roman" w:eastAsia="仿宋_GB2312" w:cs="Times New Roman"/>
          <w:sz w:val="32"/>
          <w:szCs w:val="32"/>
          <w:lang w:val="zh-CN"/>
        </w:rPr>
        <w:t>“54321”发展战略，“5”是指“五大战略”，即工业强市战略、旅游兴市战略、环境立市战略、乡村振兴战略、创新引领战略；“4”是指“四个经济发展动力源”，即医药健康、新能源新材料、旅游商贸和长白山特产品加工；“3”是指“三个城市定位”，即长吉图重要节点城市、生态旅游名城、长白山特色产业名城；“2”是指“两个发展极”，即全力打造天岗石材产业园区、蛟河经济开发区2个省级开发区，力争进入省级开发区20强；“1”是指“一个新征程”，即综合实力跻身全省县域15强，踏上全面建设社会主义现代化强市新征程。</w:t>
      </w:r>
    </w:p>
    <w:p>
      <w:pPr>
        <w:pStyle w:val="2"/>
        <w:pageBreakBefore w:val="0"/>
        <w:widowControl w:val="0"/>
        <w:kinsoku/>
        <w:wordWrap/>
        <w:overflowPunct/>
        <w:topLinePunct w:val="0"/>
        <w:autoSpaceDE/>
        <w:autoSpaceDN/>
        <w:bidi w:val="0"/>
        <w:snapToGrid/>
        <w:spacing w:line="560" w:lineRule="exact"/>
        <w:textAlignment w:val="auto"/>
        <w:rPr>
          <w:rFonts w:hint="default"/>
          <w:lang w:val="zh-CN"/>
        </w:rPr>
      </w:pPr>
    </w:p>
    <w:bookmarkEnd w:id="19"/>
    <w:bookmarkEnd w:id="20"/>
    <w:p>
      <w:pPr>
        <w:pStyle w:val="5"/>
        <w:pageBreakBefore w:val="0"/>
        <w:widowControl w:val="0"/>
        <w:kinsoku/>
        <w:wordWrap/>
        <w:overflowPunct/>
        <w:topLinePunct w:val="0"/>
        <w:autoSpaceDE/>
        <w:autoSpaceDN/>
        <w:bidi w:val="0"/>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1" w:name="_Toc55314873"/>
      <w:bookmarkStart w:id="22" w:name="_Toc2223"/>
      <w:r>
        <w:rPr>
          <w:rFonts w:hint="eastAsia" w:ascii="方正小标宋简体" w:hAnsi="方正小标宋简体" w:eastAsia="方正小标宋简体" w:cs="方正小标宋简体"/>
          <w:b w:val="0"/>
          <w:bCs w:val="0"/>
          <w:sz w:val="32"/>
          <w:szCs w:val="32"/>
        </w:rPr>
        <w:t>发展原则</w:t>
      </w:r>
      <w:bookmarkEnd w:id="21"/>
      <w:bookmarkEnd w:id="22"/>
    </w:p>
    <w:p>
      <w:pPr>
        <w:pageBreakBefore w:val="0"/>
        <w:widowControl w:val="0"/>
        <w:kinsoku/>
        <w:wordWrap/>
        <w:overflowPunct/>
        <w:topLinePunct w:val="0"/>
        <w:autoSpaceDE/>
        <w:autoSpaceDN/>
        <w:bidi w:val="0"/>
        <w:snapToGrid/>
        <w:spacing w:line="560" w:lineRule="exact"/>
        <w:textAlignment w:val="auto"/>
        <w:rPr>
          <w:rFonts w:hint="eastAsia"/>
        </w:rPr>
      </w:pPr>
    </w:p>
    <w:p>
      <w:pPr>
        <w:pageBreakBefore w:val="0"/>
        <w:widowControl w:val="0"/>
        <w:kinsoku/>
        <w:wordWrap/>
        <w:overflowPunct/>
        <w:topLinePunct w:val="0"/>
        <w:autoSpaceDE/>
        <w:autoSpaceDN/>
        <w:bidi w:val="0"/>
        <w:adjustRightInd w:val="0"/>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坚持党的全面领导。</w:t>
      </w:r>
      <w:r>
        <w:rPr>
          <w:rFonts w:hint="default" w:ascii="Times New Roman" w:hAnsi="Times New Roman" w:eastAsia="仿宋_GB2312" w:cs="Times New Roman"/>
          <w:sz w:val="32"/>
          <w:szCs w:val="32"/>
        </w:rPr>
        <w:t>坚决贯彻以习近平同志为核心的党中央决策部署，坚持和完善党领导经济社会发展的体制机制，不断提高贯彻新发展理念、构建新发展格局的能力水平，为实现高质量发展提供根本保证。</w:t>
      </w:r>
    </w:p>
    <w:p>
      <w:pPr>
        <w:pageBreakBefore w:val="0"/>
        <w:kinsoku/>
        <w:wordWrap/>
        <w:overflowPunct/>
        <w:topLinePunct w:val="0"/>
        <w:autoSpaceDE/>
        <w:autoSpaceDN/>
        <w:bidi w:val="0"/>
        <w:adjustRightInd w:val="0"/>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坚持以人民为中心。</w:t>
      </w:r>
      <w:r>
        <w:rPr>
          <w:rFonts w:hint="default" w:ascii="Times New Roman" w:hAnsi="Times New Roman" w:eastAsia="仿宋_GB2312" w:cs="Times New Roman"/>
          <w:sz w:val="32"/>
          <w:szCs w:val="32"/>
        </w:rPr>
        <w:t>坚持人民主体地位，坚持共同富裕方向，始终做到发展为了人民、发展依靠人民、发展成果由人民共享，维护人民根本利益，激发人民群众积极性、主动性、创造性，促进社会公平，增进民生福祉，不断实现人民对美好生活的向往。</w:t>
      </w:r>
    </w:p>
    <w:p>
      <w:pPr>
        <w:pageBreakBefore w:val="0"/>
        <w:kinsoku/>
        <w:wordWrap/>
        <w:overflowPunct/>
        <w:topLinePunct w:val="0"/>
        <w:autoSpaceDE/>
        <w:autoSpaceDN/>
        <w:bidi w:val="0"/>
        <w:adjustRightInd w:val="0"/>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坚持新发展理念。</w:t>
      </w:r>
      <w:r>
        <w:rPr>
          <w:rFonts w:hint="default" w:ascii="Times New Roman" w:hAnsi="Times New Roman" w:eastAsia="仿宋_GB2312" w:cs="Times New Roman"/>
          <w:sz w:val="32"/>
          <w:szCs w:val="32"/>
        </w:rPr>
        <w:t>把新发展理念贯穿全面振兴全方位振兴全过程和各领域，加快融入新发展格局，切实转变发展方式，实现更高质量、更有效率、更加公平、更可持续、更为安全的发展。</w:t>
      </w:r>
    </w:p>
    <w:p>
      <w:pPr>
        <w:pageBreakBefore w:val="0"/>
        <w:kinsoku/>
        <w:wordWrap/>
        <w:overflowPunct/>
        <w:topLinePunct w:val="0"/>
        <w:autoSpaceDE/>
        <w:autoSpaceDN/>
        <w:bidi w:val="0"/>
        <w:adjustRightInd w:val="0"/>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坚持深化改革开放。</w:t>
      </w:r>
      <w:r>
        <w:rPr>
          <w:rFonts w:hint="default" w:ascii="Times New Roman" w:hAnsi="Times New Roman" w:eastAsia="仿宋_GB2312" w:cs="Times New Roman"/>
          <w:sz w:val="32"/>
          <w:szCs w:val="32"/>
        </w:rPr>
        <w:t>坚持与时俱进，深入解放思想，坚定不移推进改革，破除制约高质量发展、高品质生活的体制机制障碍，强化有利于提高资源配置效率、有利于调动全社会积极性的重大改革开放举措，持续增强发展动力和活力。</w:t>
      </w:r>
    </w:p>
    <w:p>
      <w:pPr>
        <w:pageBreakBefore w:val="0"/>
        <w:widowControl w:val="0"/>
        <w:kinsoku/>
        <w:wordWrap/>
        <w:overflowPunct/>
        <w:topLinePunct w:val="0"/>
        <w:autoSpaceDE/>
        <w:autoSpaceDN/>
        <w:bidi w:val="0"/>
        <w:adjustRightInd w:val="0"/>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坚持系统观念。</w:t>
      </w:r>
      <w:r>
        <w:rPr>
          <w:rFonts w:hint="default" w:ascii="Times New Roman" w:hAnsi="Times New Roman" w:eastAsia="仿宋_GB2312" w:cs="Times New Roman"/>
          <w:sz w:val="32"/>
          <w:szCs w:val="32"/>
        </w:rPr>
        <w:t>加强前瞻性思考、全局性谋划、战略性布局、整体性推进，办好发展</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安全两件大事，更好发挥各方面积极性，强化区域协同，加快率先突破，着力固根基、扬优势、补短板、强弱项，注重防范化解重大风险，实现发展规模、速度、质量、结构、效益、安全相统一。</w:t>
      </w:r>
    </w:p>
    <w:p>
      <w:pPr>
        <w:pStyle w:val="2"/>
        <w:pageBreakBefore w:val="0"/>
        <w:widowControl w:val="0"/>
        <w:kinsoku/>
        <w:wordWrap/>
        <w:overflowPunct/>
        <w:topLinePunct w:val="0"/>
        <w:autoSpaceDE/>
        <w:autoSpaceDN/>
        <w:bidi w:val="0"/>
        <w:snapToGrid/>
        <w:spacing w:line="560" w:lineRule="exact"/>
        <w:textAlignment w:val="auto"/>
        <w:rPr>
          <w:rFonts w:hint="default"/>
        </w:rPr>
      </w:pPr>
    </w:p>
    <w:p>
      <w:pPr>
        <w:pStyle w:val="5"/>
        <w:pageBreakBefore w:val="0"/>
        <w:widowControl w:val="0"/>
        <w:kinsoku/>
        <w:wordWrap/>
        <w:overflowPunct/>
        <w:topLinePunct w:val="0"/>
        <w:autoSpaceDE/>
        <w:autoSpaceDN/>
        <w:bidi w:val="0"/>
        <w:snapToGrid/>
        <w:spacing w:before="0" w:beforeLines="0" w:after="0" w:afterLines="0" w:line="560" w:lineRule="exact"/>
        <w:ind w:left="0"/>
        <w:textAlignment w:val="auto"/>
        <w:rPr>
          <w:rFonts w:hint="eastAsia" w:ascii="黑体" w:hAnsi="黑体" w:eastAsia="黑体" w:cs="黑体"/>
          <w:b w:val="0"/>
          <w:bCs w:val="0"/>
          <w:sz w:val="32"/>
          <w:szCs w:val="32"/>
        </w:rPr>
      </w:pPr>
      <w:bookmarkStart w:id="23" w:name="_Toc19381"/>
      <w:bookmarkStart w:id="24" w:name="_Toc55314874"/>
      <w:r>
        <w:rPr>
          <w:rFonts w:hint="eastAsia" w:ascii="黑体" w:hAnsi="黑体" w:eastAsia="黑体" w:cs="黑体"/>
          <w:b w:val="0"/>
          <w:bCs w:val="0"/>
          <w:sz w:val="32"/>
          <w:szCs w:val="32"/>
        </w:rPr>
        <w:t>发展目标</w:t>
      </w:r>
      <w:bookmarkEnd w:id="23"/>
      <w:bookmarkEnd w:id="24"/>
    </w:p>
    <w:p>
      <w:pPr>
        <w:pageBreakBefore w:val="0"/>
        <w:widowControl w:val="0"/>
        <w:kinsoku/>
        <w:wordWrap/>
        <w:overflowPunct/>
        <w:topLinePunct w:val="0"/>
        <w:autoSpaceDE/>
        <w:autoSpaceDN/>
        <w:bidi w:val="0"/>
        <w:snapToGrid/>
        <w:spacing w:line="560" w:lineRule="exact"/>
        <w:textAlignment w:val="auto"/>
        <w:rPr>
          <w:rFonts w:hint="eastAsia"/>
        </w:rPr>
      </w:pPr>
    </w:p>
    <w:p>
      <w:pPr>
        <w:pageBreakBefore w:val="0"/>
        <w:widowControl w:val="0"/>
        <w:kinsoku/>
        <w:wordWrap/>
        <w:overflowPunct/>
        <w:topLinePunct w:val="0"/>
        <w:autoSpaceDE/>
        <w:autoSpaceDN/>
        <w:bidi w:val="0"/>
        <w:adjustRightInd w:val="0"/>
        <w:snapToGrid/>
        <w:spacing w:line="560" w:lineRule="exact"/>
        <w:ind w:left="0" w:firstLine="480" w:firstLineChars="15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对标省和吉林</w:t>
      </w:r>
      <w:r>
        <w:rPr>
          <w:rFonts w:hint="default" w:ascii="Times New Roman" w:hAnsi="Times New Roman" w:eastAsia="仿宋_GB2312" w:cs="Times New Roman"/>
          <w:bCs/>
          <w:sz w:val="32"/>
          <w:szCs w:val="32"/>
          <w:lang w:eastAsia="zh-CN"/>
        </w:rPr>
        <w:t>市</w:t>
      </w:r>
      <w:r>
        <w:rPr>
          <w:rFonts w:hint="default" w:ascii="Times New Roman" w:hAnsi="Times New Roman" w:eastAsia="仿宋_GB2312" w:cs="Times New Roman"/>
          <w:bCs/>
          <w:sz w:val="32"/>
          <w:szCs w:val="32"/>
        </w:rPr>
        <w:t>《建议》提出的“十四五”及</w:t>
      </w:r>
      <w:r>
        <w:rPr>
          <w:rFonts w:hint="default" w:ascii="Times New Roman" w:hAnsi="Times New Roman" w:eastAsia="仿宋_GB2312" w:cs="Times New Roman"/>
          <w:sz w:val="32"/>
          <w:szCs w:val="32"/>
          <w:shd w:val="clear" w:color="auto" w:fill="FFFFFF"/>
        </w:rPr>
        <w:t>二〇三五</w:t>
      </w:r>
      <w:r>
        <w:rPr>
          <w:rFonts w:hint="default" w:ascii="Times New Roman" w:hAnsi="Times New Roman" w:eastAsia="仿宋_GB2312" w:cs="Times New Roman"/>
          <w:bCs/>
          <w:sz w:val="32"/>
          <w:szCs w:val="32"/>
        </w:rPr>
        <w:t>远景目标，根据市委《建议》</w:t>
      </w:r>
      <w:r>
        <w:rPr>
          <w:rFonts w:hint="default" w:ascii="Times New Roman" w:hAnsi="Times New Roman" w:eastAsia="仿宋_GB2312" w:cs="Times New Roman"/>
          <w:bCs/>
          <w:sz w:val="32"/>
          <w:szCs w:val="32"/>
          <w:lang w:eastAsia="zh-CN"/>
        </w:rPr>
        <w:t>精神</w:t>
      </w:r>
      <w:r>
        <w:rPr>
          <w:rFonts w:hint="default" w:ascii="Times New Roman" w:hAnsi="Times New Roman" w:eastAsia="仿宋_GB2312" w:cs="Times New Roman"/>
          <w:bCs/>
          <w:sz w:val="32"/>
          <w:szCs w:val="32"/>
        </w:rPr>
        <w:t>，今后五年蛟河市经济社会发展要努力实现以下主要目标：</w:t>
      </w:r>
    </w:p>
    <w:p>
      <w:pPr>
        <w:pageBreakBefore w:val="0"/>
        <w:kinsoku/>
        <w:wordWrap/>
        <w:overflowPunct/>
        <w:topLinePunct w:val="0"/>
        <w:autoSpaceDE/>
        <w:autoSpaceDN/>
        <w:bidi w:val="0"/>
        <w:adjustRightInd w:val="0"/>
        <w:snapToGrid/>
        <w:spacing w:line="560" w:lineRule="exact"/>
        <w:ind w:left="0" w:firstLine="482"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——经济发展取得新成效。</w:t>
      </w:r>
      <w:r>
        <w:rPr>
          <w:rFonts w:hint="default" w:ascii="Times New Roman" w:hAnsi="Times New Roman" w:eastAsia="仿宋_GB2312" w:cs="Times New Roman"/>
          <w:sz w:val="32"/>
          <w:szCs w:val="32"/>
        </w:rPr>
        <w:t>重点经济指标高于全省平均水平，以四大产业为</w:t>
      </w:r>
      <w:r>
        <w:rPr>
          <w:rFonts w:hint="default" w:ascii="Times New Roman" w:hAnsi="Times New Roman" w:eastAsia="仿宋_GB2312" w:cs="Times New Roman"/>
          <w:sz w:val="32"/>
          <w:szCs w:val="32"/>
          <w:lang w:eastAsia="zh-CN"/>
        </w:rPr>
        <w:t>核心</w:t>
      </w:r>
      <w:r>
        <w:rPr>
          <w:rFonts w:hint="default" w:ascii="Times New Roman" w:hAnsi="Times New Roman" w:eastAsia="仿宋_GB2312" w:cs="Times New Roman"/>
          <w:sz w:val="32"/>
          <w:szCs w:val="32"/>
        </w:rPr>
        <w:t>的现代产业体系建设取得重大进展，科技进步贡献率大幅提升，城乡融合发展步伐加快，综合实力跻身全省县域15强，天岗</w:t>
      </w:r>
      <w:r>
        <w:rPr>
          <w:rFonts w:hint="default" w:ascii="Times New Roman" w:hAnsi="Times New Roman" w:eastAsia="仿宋_GB2312" w:cs="Times New Roman"/>
          <w:sz w:val="32"/>
          <w:szCs w:val="32"/>
          <w:lang w:eastAsia="zh-CN"/>
        </w:rPr>
        <w:t>石材产业</w:t>
      </w:r>
      <w:r>
        <w:rPr>
          <w:rFonts w:hint="default" w:ascii="Times New Roman" w:hAnsi="Times New Roman" w:eastAsia="仿宋_GB2312" w:cs="Times New Roman"/>
          <w:sz w:val="32"/>
          <w:szCs w:val="32"/>
        </w:rPr>
        <w:t>园区、蛟河</w:t>
      </w:r>
      <w:r>
        <w:rPr>
          <w:rFonts w:hint="default" w:ascii="Times New Roman" w:hAnsi="Times New Roman" w:eastAsia="仿宋_GB2312" w:cs="Times New Roman"/>
          <w:sz w:val="32"/>
          <w:szCs w:val="32"/>
          <w:lang w:eastAsia="zh-CN"/>
        </w:rPr>
        <w:t>经济开发区</w:t>
      </w:r>
      <w:r>
        <w:rPr>
          <w:rFonts w:hint="default" w:ascii="Times New Roman" w:hAnsi="Times New Roman" w:eastAsia="仿宋_GB2312" w:cs="Times New Roman"/>
          <w:sz w:val="32"/>
          <w:szCs w:val="32"/>
        </w:rPr>
        <w:t>进入省级开发区20强。</w:t>
      </w:r>
    </w:p>
    <w:p>
      <w:pPr>
        <w:pageBreakBefore w:val="0"/>
        <w:kinsoku/>
        <w:wordWrap/>
        <w:overflowPunct/>
        <w:topLinePunct w:val="0"/>
        <w:autoSpaceDE/>
        <w:autoSpaceDN/>
        <w:bidi w:val="0"/>
        <w:adjustRightInd w:val="0"/>
        <w:snapToGrid/>
        <w:spacing w:line="560" w:lineRule="exact"/>
        <w:ind w:left="0" w:firstLine="482"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——改革开放迈出新步伐。</w:t>
      </w:r>
      <w:r>
        <w:rPr>
          <w:rFonts w:hint="default" w:ascii="Times New Roman" w:hAnsi="Times New Roman" w:eastAsia="仿宋_GB2312" w:cs="Times New Roman"/>
          <w:sz w:val="32"/>
          <w:szCs w:val="32"/>
        </w:rPr>
        <w:t>“放管服”、“最多跑一次”</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改革深入推进，高标准市场体系基本建成，营造亲商、爱商、安商、富商的优质营商环境，市场主体充满活力，对接国家</w:t>
      </w:r>
      <w:r>
        <w:rPr>
          <w:rFonts w:hint="default" w:ascii="Times New Roman" w:hAnsi="Times New Roman" w:eastAsia="仿宋_GB2312" w:cs="Times New Roman"/>
          <w:sz w:val="32"/>
          <w:szCs w:val="32"/>
          <w:lang w:eastAsia="zh-CN"/>
        </w:rPr>
        <w:t>和全</w:t>
      </w:r>
      <w:r>
        <w:rPr>
          <w:rFonts w:hint="default" w:ascii="Times New Roman" w:hAnsi="Times New Roman" w:eastAsia="仿宋_GB2312" w:cs="Times New Roman"/>
          <w:sz w:val="32"/>
          <w:szCs w:val="32"/>
        </w:rPr>
        <w:t>省区域发展战略取得实效，招商引资、招才引智规模持续扩大。</w:t>
      </w:r>
    </w:p>
    <w:p>
      <w:pPr>
        <w:pageBreakBefore w:val="0"/>
        <w:kinsoku/>
        <w:wordWrap/>
        <w:overflowPunct/>
        <w:topLinePunct w:val="0"/>
        <w:autoSpaceDE/>
        <w:autoSpaceDN/>
        <w:bidi w:val="0"/>
        <w:adjustRightInd w:val="0"/>
        <w:snapToGrid/>
        <w:spacing w:line="560" w:lineRule="exact"/>
        <w:ind w:left="0" w:firstLine="482"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——社会文明程度得到新提高。</w:t>
      </w:r>
      <w:r>
        <w:rPr>
          <w:rFonts w:hint="default" w:ascii="Times New Roman" w:hAnsi="Times New Roman" w:eastAsia="仿宋_GB2312" w:cs="Times New Roman"/>
          <w:sz w:val="32"/>
          <w:szCs w:val="32"/>
        </w:rPr>
        <w:t>省级文明城市建设成果持续巩固，社会主义核心价值观深入人心，公共文化服务体系和文化产业体系更加健全，全市人民思想道德素质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科学文化素质和身心健康素质明显提高，精神文化生活日益丰富。</w:t>
      </w:r>
    </w:p>
    <w:p>
      <w:pPr>
        <w:pageBreakBefore w:val="0"/>
        <w:kinsoku/>
        <w:wordWrap/>
        <w:overflowPunct/>
        <w:topLinePunct w:val="0"/>
        <w:autoSpaceDE/>
        <w:autoSpaceDN/>
        <w:bidi w:val="0"/>
        <w:adjustRightInd w:val="0"/>
        <w:snapToGrid/>
        <w:spacing w:line="560" w:lineRule="exact"/>
        <w:ind w:left="0" w:firstLine="482"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——生态文明建设实现新进步。</w:t>
      </w:r>
      <w:r>
        <w:rPr>
          <w:rFonts w:hint="default" w:ascii="Times New Roman" w:hAnsi="Times New Roman" w:eastAsia="仿宋_GB2312" w:cs="Times New Roman"/>
          <w:sz w:val="32"/>
          <w:szCs w:val="32"/>
        </w:rPr>
        <w:t>区域空间开发保护格局得到优化，生产生活方式绿色转型成效显著，能源资源利用效率大幅提高，生态环境持续改善，宜居宜业的现代化城市品质明显提升。</w:t>
      </w:r>
    </w:p>
    <w:p>
      <w:pPr>
        <w:pageBreakBefore w:val="0"/>
        <w:kinsoku/>
        <w:wordWrap/>
        <w:overflowPunct/>
        <w:topLinePunct w:val="0"/>
        <w:autoSpaceDE/>
        <w:autoSpaceDN/>
        <w:bidi w:val="0"/>
        <w:adjustRightInd w:val="0"/>
        <w:snapToGrid/>
        <w:spacing w:line="560" w:lineRule="exact"/>
        <w:ind w:left="0" w:firstLine="482"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——民生福祉达到新水平。</w:t>
      </w:r>
      <w:r>
        <w:rPr>
          <w:rFonts w:hint="default" w:ascii="Times New Roman" w:hAnsi="Times New Roman" w:eastAsia="仿宋_GB2312" w:cs="Times New Roman"/>
          <w:sz w:val="32"/>
          <w:szCs w:val="32"/>
        </w:rPr>
        <w:t>居民收入</w:t>
      </w:r>
      <w:r>
        <w:rPr>
          <w:rFonts w:hint="default" w:ascii="Times New Roman" w:hAnsi="Times New Roman" w:eastAsia="仿宋_GB2312" w:cs="Times New Roman"/>
          <w:sz w:val="32"/>
          <w:szCs w:val="32"/>
          <w:lang w:eastAsia="zh-CN"/>
        </w:rPr>
        <w:t>稳步</w:t>
      </w:r>
      <w:r>
        <w:rPr>
          <w:rFonts w:hint="default" w:ascii="Times New Roman" w:hAnsi="Times New Roman" w:eastAsia="仿宋_GB2312" w:cs="Times New Roman"/>
          <w:sz w:val="32"/>
          <w:szCs w:val="32"/>
        </w:rPr>
        <w:t>增长，社会就业充分，基本公共服务均等化水平明显提高，全民受教育程度不断提升，多层次的社会保障体系更加健全，卫生健康体系更加完善，脱贫攻坚及乡村振兴成果得以巩固拓展。</w:t>
      </w:r>
    </w:p>
    <w:p>
      <w:pPr>
        <w:pageBreakBefore w:val="0"/>
        <w:kinsoku/>
        <w:wordWrap/>
        <w:overflowPunct/>
        <w:topLinePunct w:val="0"/>
        <w:autoSpaceDE/>
        <w:autoSpaceDN/>
        <w:bidi w:val="0"/>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——社会治理效能得到新提升。</w:t>
      </w:r>
      <w:r>
        <w:rPr>
          <w:rFonts w:hint="default" w:ascii="Times New Roman" w:hAnsi="Times New Roman" w:eastAsia="仿宋_GB2312" w:cs="Times New Roman"/>
          <w:sz w:val="32"/>
          <w:szCs w:val="32"/>
        </w:rPr>
        <w:t>民主法制更加健全，社会公平正义进一步彰显，政府作用更好发挥，行政效率和公信力显著提升，基层治理水平明显提高，防范化解重大风险、保障安全发展能力切实增强。</w:t>
      </w:r>
    </w:p>
    <w:p>
      <w:r>
        <w:br w:type="page"/>
      </w:r>
    </w:p>
    <w:p>
      <w:pPr>
        <w:ind w:firstLine="0"/>
        <w:jc w:val="center"/>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“十四五”时期经济社会发展主要指标</w:t>
      </w:r>
    </w:p>
    <w:p>
      <w:pPr>
        <w:pStyle w:val="2"/>
        <w:rPr>
          <w:rFonts w:hint="eastAsia"/>
        </w:rPr>
      </w:pPr>
    </w:p>
    <w:tbl>
      <w:tblPr>
        <w:tblStyle w:val="30"/>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495"/>
        <w:gridCol w:w="1546"/>
        <w:gridCol w:w="1500"/>
        <w:gridCol w:w="945"/>
        <w:gridCol w:w="915"/>
        <w:gridCol w:w="1725"/>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blHeader/>
        </w:trPr>
        <w:tc>
          <w:tcPr>
            <w:tcW w:w="406" w:type="dxa"/>
            <w:vAlign w:val="center"/>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类别</w:t>
            </w:r>
          </w:p>
        </w:tc>
        <w:tc>
          <w:tcPr>
            <w:tcW w:w="495" w:type="dxa"/>
            <w:vAlign w:val="center"/>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序号</w:t>
            </w:r>
          </w:p>
        </w:tc>
        <w:tc>
          <w:tcPr>
            <w:tcW w:w="3046" w:type="dxa"/>
            <w:gridSpan w:val="2"/>
            <w:vAlign w:val="center"/>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指标</w:t>
            </w:r>
          </w:p>
        </w:tc>
        <w:tc>
          <w:tcPr>
            <w:tcW w:w="945" w:type="dxa"/>
            <w:vAlign w:val="center"/>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2020年预计</w:t>
            </w:r>
          </w:p>
        </w:tc>
        <w:tc>
          <w:tcPr>
            <w:tcW w:w="915" w:type="dxa"/>
            <w:vAlign w:val="center"/>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2025年目标</w:t>
            </w:r>
          </w:p>
        </w:tc>
        <w:tc>
          <w:tcPr>
            <w:tcW w:w="1725" w:type="dxa"/>
            <w:vAlign w:val="center"/>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年均（%）</w:t>
            </w:r>
          </w:p>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/累计</w:t>
            </w:r>
          </w:p>
        </w:tc>
        <w:tc>
          <w:tcPr>
            <w:tcW w:w="885" w:type="dxa"/>
            <w:vAlign w:val="center"/>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经济发展</w:t>
            </w: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地区生产总值（GDP）增长（%）</w:t>
            </w:r>
          </w:p>
        </w:tc>
        <w:tc>
          <w:tcPr>
            <w:tcW w:w="945" w:type="dxa"/>
            <w:vAlign w:val="center"/>
          </w:tcPr>
          <w:p>
            <w:pPr>
              <w:spacing w:line="240" w:lineRule="auto"/>
              <w:ind w:firstLine="0"/>
              <w:jc w:val="center"/>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2.7</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10以上</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地方级财政收入（亿元）</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3.72</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5.34</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7.5</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常住人口城镇化率（%）</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46.4</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51</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全员劳动生产率增长（%）</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民营经济增加值占地区生产总值比重（%）</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70</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75</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0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创新驱动</w:t>
            </w: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研发（R&amp;D）经费投入增长（%）</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ind w:firstLine="0"/>
              <w:jc w:val="center"/>
              <w:rPr>
                <w:rFonts w:hint="default" w:ascii="Times New Roman" w:hAnsi="Times New Roman" w:eastAsia="仿宋_GB2312" w:cs="Times New Roman"/>
              </w:rPr>
            </w:pPr>
            <w:r>
              <w:rPr>
                <w:rFonts w:hint="default" w:ascii="Times New Roman" w:hAnsi="Times New Roman" w:eastAsia="仿宋_GB2312" w:cs="Times New Roman"/>
                <w:sz w:val="21"/>
                <w:szCs w:val="21"/>
              </w:rPr>
              <w:t>7</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每万人口高价值发明专利拥有量（件）</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0.19</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0.2</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40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民生福祉</w:t>
            </w:r>
          </w:p>
        </w:tc>
        <w:tc>
          <w:tcPr>
            <w:tcW w:w="495" w:type="dxa"/>
            <w:vMerge w:val="restart"/>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w:t>
            </w:r>
          </w:p>
        </w:tc>
        <w:tc>
          <w:tcPr>
            <w:tcW w:w="154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居民人均可支配收入增长（%）</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城镇常住居民</w:t>
            </w:r>
          </w:p>
        </w:tc>
        <w:tc>
          <w:tcPr>
            <w:tcW w:w="945" w:type="dxa"/>
            <w:vMerge w:val="restart"/>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915" w:type="dxa"/>
            <w:vMerge w:val="restart"/>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1725" w:type="dxa"/>
            <w:vAlign w:val="center"/>
          </w:tcPr>
          <w:p>
            <w:pPr>
              <w:spacing w:line="240" w:lineRule="auto"/>
              <w:ind w:firstLine="0"/>
              <w:jc w:val="both"/>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与经济增长同步</w:t>
            </w:r>
          </w:p>
        </w:tc>
        <w:tc>
          <w:tcPr>
            <w:tcW w:w="885" w:type="dxa"/>
            <w:vMerge w:val="restart"/>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hint="default" w:ascii="Times New Roman" w:hAnsi="Times New Roman" w:eastAsia="仿宋_GB2312" w:cs="Times New Roman"/>
              </w:rPr>
            </w:pPr>
          </w:p>
        </w:tc>
        <w:tc>
          <w:tcPr>
            <w:tcW w:w="495" w:type="dxa"/>
            <w:vMerge w:val="continue"/>
            <w:vAlign w:val="center"/>
          </w:tcPr>
          <w:p>
            <w:pPr>
              <w:spacing w:line="240" w:lineRule="auto"/>
              <w:ind w:firstLine="0"/>
              <w:rPr>
                <w:rFonts w:hint="default" w:ascii="Times New Roman" w:hAnsi="Times New Roman" w:eastAsia="仿宋_GB2312" w:cs="Times New Roman"/>
              </w:rPr>
            </w:pPr>
          </w:p>
        </w:tc>
        <w:tc>
          <w:tcPr>
            <w:tcW w:w="154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lang w:eastAsia="zh-CN"/>
              </w:rPr>
            </w:pPr>
            <w:r>
              <w:rPr>
                <w:rFonts w:hint="default" w:ascii="Times New Roman" w:hAnsi="Times New Roman" w:eastAsia="仿宋_GB2312" w:cs="Times New Roman"/>
                <w:sz w:val="21"/>
                <w:szCs w:val="21"/>
                <w:lang w:eastAsia="zh-CN"/>
              </w:rPr>
              <w:t>农村常住居民</w:t>
            </w:r>
          </w:p>
        </w:tc>
        <w:tc>
          <w:tcPr>
            <w:tcW w:w="945" w:type="dxa"/>
            <w:vMerge w:val="continue"/>
            <w:vAlign w:val="center"/>
          </w:tcPr>
          <w:p>
            <w:pPr>
              <w:spacing w:line="240" w:lineRule="auto"/>
              <w:ind w:firstLine="0"/>
              <w:rPr>
                <w:rFonts w:hint="default" w:ascii="Times New Roman" w:hAnsi="Times New Roman" w:eastAsia="仿宋_GB2312" w:cs="Times New Roman"/>
              </w:rPr>
            </w:pPr>
          </w:p>
        </w:tc>
        <w:tc>
          <w:tcPr>
            <w:tcW w:w="915" w:type="dxa"/>
            <w:vMerge w:val="continue"/>
            <w:vAlign w:val="center"/>
          </w:tcPr>
          <w:p>
            <w:pPr>
              <w:spacing w:line="240" w:lineRule="auto"/>
              <w:ind w:firstLine="0"/>
              <w:rPr>
                <w:rFonts w:hint="default" w:ascii="Times New Roman" w:hAnsi="Times New Roman" w:eastAsia="仿宋_GB2312" w:cs="Times New Roman"/>
              </w:rPr>
            </w:pPr>
          </w:p>
        </w:tc>
        <w:tc>
          <w:tcPr>
            <w:tcW w:w="1725" w:type="dxa"/>
            <w:vAlign w:val="center"/>
          </w:tcPr>
          <w:p>
            <w:pPr>
              <w:spacing w:line="240" w:lineRule="auto"/>
              <w:ind w:firstLine="0"/>
              <w:jc w:val="left"/>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高于经济增长</w:t>
            </w:r>
          </w:p>
        </w:tc>
        <w:tc>
          <w:tcPr>
            <w:tcW w:w="885" w:type="dxa"/>
            <w:vMerge w:val="continue"/>
            <w:vAlign w:val="center"/>
          </w:tcPr>
          <w:p>
            <w:pPr>
              <w:spacing w:line="240" w:lineRule="auto"/>
              <w:ind w:firstLine="0"/>
              <w:rPr>
                <w:rFonts w:hint="default"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城镇调查失业率（%）</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4.5</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4.3</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约束</w:t>
            </w:r>
            <w:r>
              <w:rPr>
                <w:rFonts w:hint="default" w:ascii="Times New Roman" w:hAnsi="Times New Roman" w:eastAsia="仿宋_GB2312" w:cs="Times New Roman"/>
                <w:sz w:val="21"/>
                <w:szCs w:val="21"/>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10</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劳动年龄人口平均受教育年限（年）</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12.7</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14.7</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约束</w:t>
            </w:r>
            <w:r>
              <w:rPr>
                <w:rFonts w:hint="default" w:ascii="Times New Roman" w:hAnsi="Times New Roman" w:eastAsia="仿宋_GB2312" w:cs="Times New Roman"/>
                <w:sz w:val="21"/>
                <w:szCs w:val="21"/>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11</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每千人口拥有职业（助理）医师数（人）</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2.6</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2.8</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12</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基本养老保险参保率（%）</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90</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95以上</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13</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每千人口拥有3岁以下婴幼儿托位数（个）</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0.3</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0.7</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14</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人均预期寿命（岁）</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77.7</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78.3</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[0.6]</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绿色生态</w:t>
            </w: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15</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单位地区生产总值能源消耗降低（%）</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1725" w:type="dxa"/>
            <w:vAlign w:val="center"/>
          </w:tcPr>
          <w:p>
            <w:pPr>
              <w:spacing w:line="240" w:lineRule="auto"/>
              <w:ind w:firstLine="0"/>
              <w:jc w:val="center"/>
              <w:rPr>
                <w:rFonts w:hint="default" w:ascii="Times New Roman" w:hAnsi="Times New Roman" w:eastAsia="仿宋_GB2312" w:cs="Times New Roman"/>
                <w:sz w:val="21"/>
                <w:szCs w:val="21"/>
                <w:highlight w:val="none"/>
                <w:lang w:eastAsia="zh-CN"/>
              </w:rPr>
            </w:pPr>
            <w:r>
              <w:rPr>
                <w:rFonts w:hint="default" w:ascii="Times New Roman" w:hAnsi="Times New Roman" w:eastAsia="仿宋_GB2312" w:cs="Times New Roman"/>
                <w:sz w:val="21"/>
                <w:szCs w:val="21"/>
                <w:highlight w:val="none"/>
              </w:rPr>
              <w:t>待吉林市</w:t>
            </w:r>
            <w:r>
              <w:rPr>
                <w:rFonts w:hint="default" w:ascii="Times New Roman" w:hAnsi="Times New Roman" w:eastAsia="仿宋_GB2312" w:cs="Times New Roman"/>
                <w:sz w:val="21"/>
                <w:szCs w:val="21"/>
                <w:highlight w:val="none"/>
                <w:lang w:eastAsia="zh-CN"/>
              </w:rPr>
              <w:t>下达</w:t>
            </w:r>
          </w:p>
        </w:tc>
        <w:tc>
          <w:tcPr>
            <w:tcW w:w="885" w:type="dxa"/>
            <w:vAlign w:val="center"/>
          </w:tcPr>
          <w:p>
            <w:pPr>
              <w:spacing w:line="240" w:lineRule="auto"/>
              <w:ind w:firstLine="0"/>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16</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单位地区生产总值二氧化碳排放降低（%）</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1725" w:type="dxa"/>
            <w:vAlign w:val="center"/>
          </w:tcPr>
          <w:p>
            <w:pPr>
              <w:spacing w:line="240" w:lineRule="auto"/>
              <w:ind w:firstLine="0"/>
              <w:jc w:val="center"/>
              <w:rPr>
                <w:rFonts w:hint="default" w:ascii="Times New Roman" w:hAnsi="Times New Roman" w:eastAsia="仿宋_GB2312" w:cs="Times New Roman"/>
                <w:sz w:val="21"/>
                <w:szCs w:val="21"/>
                <w:highlight w:val="none"/>
                <w:lang w:eastAsia="zh-CN"/>
              </w:rPr>
            </w:pPr>
            <w:r>
              <w:rPr>
                <w:rFonts w:hint="default" w:ascii="Times New Roman" w:hAnsi="Times New Roman" w:eastAsia="仿宋_GB2312" w:cs="Times New Roman"/>
                <w:sz w:val="21"/>
                <w:szCs w:val="21"/>
                <w:highlight w:val="none"/>
              </w:rPr>
              <w:t>待吉林市</w:t>
            </w:r>
            <w:r>
              <w:rPr>
                <w:rFonts w:hint="default" w:ascii="Times New Roman" w:hAnsi="Times New Roman" w:eastAsia="仿宋_GB2312" w:cs="Times New Roman"/>
                <w:sz w:val="21"/>
                <w:szCs w:val="21"/>
                <w:highlight w:val="none"/>
                <w:lang w:eastAsia="zh-CN"/>
              </w:rPr>
              <w:t>下达</w:t>
            </w:r>
          </w:p>
        </w:tc>
        <w:tc>
          <w:tcPr>
            <w:tcW w:w="885" w:type="dxa"/>
            <w:vAlign w:val="center"/>
          </w:tcPr>
          <w:p>
            <w:pPr>
              <w:spacing w:line="240" w:lineRule="auto"/>
              <w:ind w:firstLine="0"/>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17</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空气质量优良天数比率（%）</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83</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85</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0.48</w:t>
            </w:r>
          </w:p>
        </w:tc>
        <w:tc>
          <w:tcPr>
            <w:tcW w:w="885" w:type="dxa"/>
            <w:vAlign w:val="center"/>
          </w:tcPr>
          <w:p>
            <w:pPr>
              <w:spacing w:line="240" w:lineRule="auto"/>
              <w:ind w:firstLine="0"/>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18</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地表水达到或好于Ⅲ类水体比例（%）</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83.3</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74</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lang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19</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森林覆盖率（%）</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67.8</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67.3</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约束</w:t>
            </w:r>
            <w:r>
              <w:rPr>
                <w:rFonts w:hint="default" w:ascii="Times New Roman" w:hAnsi="Times New Roman" w:eastAsia="仿宋_GB2312" w:cs="Times New Roman"/>
                <w:sz w:val="21"/>
                <w:szCs w:val="21"/>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安全保障</w:t>
            </w: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20</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粮食综合生产能力（亿斤）</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17</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17</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约束</w:t>
            </w:r>
            <w:r>
              <w:rPr>
                <w:rFonts w:hint="default" w:ascii="Times New Roman" w:hAnsi="Times New Roman" w:eastAsia="仿宋_GB2312" w:cs="Times New Roman"/>
                <w:sz w:val="21"/>
                <w:szCs w:val="21"/>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6" w:type="dxa"/>
            <w:vMerge w:val="continue"/>
            <w:vAlign w:val="center"/>
          </w:tcPr>
          <w:p>
            <w:pPr>
              <w:spacing w:line="240" w:lineRule="auto"/>
              <w:jc w:val="center"/>
              <w:rPr>
                <w:rFonts w:hint="default" w:ascii="Times New Roman" w:hAnsi="Times New Roman" w:eastAsia="仿宋_GB2312" w:cs="Times New Roman"/>
                <w:sz w:val="21"/>
                <w:szCs w:val="21"/>
              </w:rPr>
            </w:pPr>
          </w:p>
        </w:tc>
        <w:tc>
          <w:tcPr>
            <w:tcW w:w="49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21</w:t>
            </w:r>
          </w:p>
        </w:tc>
        <w:tc>
          <w:tcPr>
            <w:tcW w:w="304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firstLine="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能源综合生产能力（万吨标准煤）</w:t>
            </w:r>
          </w:p>
        </w:tc>
        <w:tc>
          <w:tcPr>
            <w:tcW w:w="94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40</w:t>
            </w:r>
          </w:p>
        </w:tc>
        <w:tc>
          <w:tcPr>
            <w:tcW w:w="91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27</w:t>
            </w:r>
          </w:p>
        </w:tc>
        <w:tc>
          <w:tcPr>
            <w:tcW w:w="172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w:t>
            </w:r>
          </w:p>
        </w:tc>
        <w:tc>
          <w:tcPr>
            <w:tcW w:w="885" w:type="dxa"/>
            <w:vAlign w:val="center"/>
          </w:tcPr>
          <w:p>
            <w:pPr>
              <w:spacing w:line="240" w:lineRule="auto"/>
              <w:ind w:firstLine="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eastAsia="zh-CN"/>
              </w:rPr>
              <w:t>约束</w:t>
            </w:r>
            <w:r>
              <w:rPr>
                <w:rFonts w:hint="default" w:ascii="Times New Roman" w:hAnsi="Times New Roman" w:eastAsia="仿宋_GB2312" w:cs="Times New Roman"/>
                <w:sz w:val="21"/>
                <w:szCs w:val="21"/>
              </w:rPr>
              <w:t>性</w:t>
            </w:r>
          </w:p>
        </w:tc>
      </w:tr>
    </w:tbl>
    <w:p>
      <w:pPr>
        <w:pStyle w:val="5"/>
        <w:spacing w:before="381" w:after="381"/>
        <w:rPr>
          <w:b w:val="0"/>
          <w:bCs w:val="0"/>
        </w:rPr>
      </w:pPr>
      <w:bookmarkStart w:id="25" w:name="_Toc28108"/>
      <w:r>
        <w:rPr>
          <w:rFonts w:hint="eastAsia" w:ascii="方正小标宋简体" w:hAnsi="方正小标宋简体" w:eastAsia="方正小标宋简体" w:cs="方正小标宋简体"/>
          <w:b w:val="0"/>
          <w:bCs w:val="0"/>
        </w:rPr>
        <w:t>未来展望</w:t>
      </w:r>
      <w:bookmarkEnd w:id="25"/>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到二〇三〇年，实现蛟河市全面振兴全方位振兴。工业强市战略、旅游兴市战略、环境立市战略、乡村振兴战略</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创新引领战略得到全面落实；长吉图重要节点城市、生态旅游名城</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长白山特色产业名城建设更加完善。医药健康、新能源新材料、旅游商贸和长白山特产品加工四大经济</w:t>
      </w:r>
      <w:r>
        <w:rPr>
          <w:rFonts w:hint="default" w:ascii="Times New Roman" w:hAnsi="Times New Roman" w:eastAsia="仿宋_GB2312" w:cs="Times New Roman"/>
          <w:sz w:val="32"/>
          <w:szCs w:val="32"/>
          <w:lang w:eastAsia="zh-CN"/>
        </w:rPr>
        <w:t>发展</w:t>
      </w:r>
      <w:r>
        <w:rPr>
          <w:rFonts w:hint="default" w:ascii="Times New Roman" w:hAnsi="Times New Roman" w:eastAsia="仿宋_GB2312" w:cs="Times New Roman"/>
          <w:sz w:val="32"/>
          <w:szCs w:val="32"/>
        </w:rPr>
        <w:t>动力源产业实现大跨步发展，成为支撑蛟河市发展的支柱产业。科技创新转化应用成果显著</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企业自主创新能力得到显著提升；污染防治得到有效治理，二氧化碳排放达到峰值，生态环境将成为蛟河市新品牌；全面改革更加深入，营商环境得到明显改善，开放合作力度增强，吉浙合作取得明显成效；消费潜力进一步释放，在国内国际双循环中的地位和功能进一步提升；蛟河市综合实力跻身全省县域前十强，在全面建设社会主义现代化强市新征程中走在前列。</w:t>
      </w: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到二〇三五年，蛟河市要在实现全面振兴全方位振兴的基础上，与全国同步基本实现社会主义现代化，形成发展质量高、创新能力强、营商环境好、动力活力足、生态环境美的现代化新局面。</w:t>
      </w: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default" w:ascii="Times New Roman" w:hAnsi="Times New Roman" w:eastAsia="仿宋_GB2312" w:cs="Times New Roman"/>
        </w:rPr>
      </w:pPr>
    </w:p>
    <w:p>
      <w:pPr>
        <w:widowControl/>
        <w:spacing w:line="240" w:lineRule="auto"/>
        <w:ind w:firstLine="0"/>
        <w:jc w:val="left"/>
      </w:pPr>
      <w:r>
        <w:br w:type="page"/>
      </w:r>
    </w:p>
    <w:p>
      <w:pPr>
        <w:pStyle w:val="4"/>
        <w:pageBreakBefore w:val="0"/>
        <w:widowControl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rPr>
      </w:pPr>
      <w:bookmarkStart w:id="26" w:name="_Toc25471"/>
      <w:bookmarkStart w:id="27" w:name="_Toc55314875"/>
      <w:bookmarkStart w:id="28" w:name="_Toc60232817"/>
      <w:bookmarkStart w:id="29" w:name="_Toc54275584"/>
      <w:r>
        <w:rPr>
          <w:rFonts w:hint="eastAsia" w:ascii="方正小标宋简体" w:hAnsi="方正小标宋简体" w:eastAsia="方正小标宋简体" w:cs="方正小标宋简体"/>
          <w:b w:val="0"/>
          <w:bCs w:val="0"/>
        </w:rPr>
        <w:t>发展布局</w:t>
      </w:r>
      <w:bookmarkEnd w:id="26"/>
      <w:bookmarkEnd w:id="27"/>
      <w:bookmarkEnd w:id="28"/>
      <w:bookmarkEnd w:id="29"/>
    </w:p>
    <w:p>
      <w:pPr>
        <w:pStyle w:val="5"/>
        <w:pageBreakBefore w:val="0"/>
        <w:widowControl w:val="0"/>
        <w:numPr>
          <w:ilvl w:val="0"/>
          <w:numId w:val="9"/>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rPr>
      </w:pPr>
      <w:bookmarkStart w:id="30" w:name="_Toc55314876"/>
      <w:bookmarkStart w:id="31" w:name="_Toc22067"/>
      <w:r>
        <w:rPr>
          <w:rFonts w:hint="eastAsia" w:ascii="方正小标宋简体" w:hAnsi="方正小标宋简体" w:eastAsia="方正小标宋简体" w:cs="方正小标宋简体"/>
          <w:b w:val="0"/>
          <w:bCs w:val="0"/>
        </w:rPr>
        <w:t>产业</w:t>
      </w:r>
      <w:bookmarkEnd w:id="30"/>
      <w:r>
        <w:rPr>
          <w:rFonts w:hint="eastAsia" w:ascii="方正小标宋简体" w:hAnsi="方正小标宋简体" w:eastAsia="方正小标宋简体" w:cs="方正小标宋简体"/>
          <w:b w:val="0"/>
          <w:bCs w:val="0"/>
        </w:rPr>
        <w:t>体系</w:t>
      </w:r>
      <w:bookmarkEnd w:id="31"/>
    </w:p>
    <w:p>
      <w:pPr>
        <w:rPr>
          <w:rFonts w:hint="eastAsia"/>
        </w:rPr>
      </w:pP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以国内大循环为主体，国内国际双循环相互促进的新发展格局中，结合蛟河市生态环境、产业基础、资源情况、区位条件和平台优势，按照“工业强市战略、旅游兴市战略、环境立市战略、乡村振兴战略、创新引领战略”五大发展战略，采取招商引资、提高自主创新能力、优化产业发展环境等措施，在“十四五”期间构造新型“4+2”现代产业体系，即做大做强医药健康、新能源新材料、旅游商贸和长白山特产品加工四大经济发展动力源产业，夯实现代特色农业和循环石材两大特色优势产业。进一步延长产业链，完善供应链，提升价值链，构建科学合理的现代产业体系。</w:t>
      </w: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left="140" w:leftChars="0" w:firstLine="320" w:firstLineChars="1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四大经济发展动力源产业</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医药健康产业。</w:t>
      </w:r>
      <w:r>
        <w:rPr>
          <w:rFonts w:hint="default" w:ascii="Times New Roman" w:hAnsi="Times New Roman" w:eastAsia="仿宋_GB2312" w:cs="Times New Roman"/>
          <w:sz w:val="32"/>
          <w:szCs w:val="32"/>
        </w:rPr>
        <w:t>以中药材种植为基础，以医药健康特色产业园区为基地，以中科院苏州医工所蛟河创新产业园建设为契机，立足现有中医药企业，培育引进制药企业和医疗器械</w:t>
      </w:r>
      <w:r>
        <w:rPr>
          <w:rFonts w:hint="default" w:ascii="Times New Roman" w:hAnsi="Times New Roman" w:eastAsia="仿宋_GB2312" w:cs="Times New Roman"/>
          <w:sz w:val="32"/>
          <w:szCs w:val="32"/>
          <w:lang w:eastAsia="zh-CN"/>
        </w:rPr>
        <w:t>生产</w:t>
      </w:r>
      <w:r>
        <w:rPr>
          <w:rFonts w:hint="default" w:ascii="Times New Roman" w:hAnsi="Times New Roman" w:eastAsia="仿宋_GB2312" w:cs="Times New Roman"/>
          <w:sz w:val="32"/>
          <w:szCs w:val="32"/>
        </w:rPr>
        <w:t>企业，加强科技创新，延伸产业链，打通供应链，融通资金链，促进医药健康产业集群化、规模化创新发展。</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新能源新材料</w:t>
      </w:r>
      <w:r>
        <w:rPr>
          <w:rFonts w:hint="default" w:ascii="Times New Roman" w:hAnsi="Times New Roman" w:eastAsia="仿宋_GB2312" w:cs="Times New Roman"/>
          <w:sz w:val="32"/>
          <w:szCs w:val="32"/>
        </w:rPr>
        <w:t>。着力发展新能源产业，以生物质、太阳能、风能等为重点，积极谋划、储备、引进一批对产业发展有重大带动作用的示范项目。加快推进蛟河抽水蓄能电站、生活垃圾焚烧发电、200MW分散式风力发电、酵母生产深加工及热电联产等一批项目建设。发展新能源新材料产业，做好碳达峰、碳中和工作。</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旅游商贸产业。</w:t>
      </w:r>
      <w:r>
        <w:rPr>
          <w:rFonts w:hint="default" w:ascii="Times New Roman" w:hAnsi="Times New Roman" w:eastAsia="仿宋_GB2312" w:cs="Times New Roman"/>
          <w:sz w:val="32"/>
          <w:szCs w:val="32"/>
        </w:rPr>
        <w:t>依托蛟河优势生态资源，将旅游业与工业、农业充分结合，形成旅游与农业、工业融合互促的良好格局。合理规划旅游线路，加强宣传，提升影响力，重点培育发展工业商贸旅游、生态农业旅游与</w:t>
      </w:r>
      <w:r>
        <w:rPr>
          <w:rFonts w:hint="default" w:ascii="Times New Roman" w:hAnsi="Times New Roman" w:eastAsia="仿宋_GB2312" w:cs="Times New Roman"/>
          <w:sz w:val="32"/>
          <w:szCs w:val="32"/>
          <w:lang w:eastAsia="zh-CN"/>
        </w:rPr>
        <w:t>冰雪</w:t>
      </w:r>
      <w:r>
        <w:rPr>
          <w:rFonts w:hint="default" w:ascii="Times New Roman" w:hAnsi="Times New Roman" w:eastAsia="仿宋_GB2312" w:cs="Times New Roman"/>
          <w:sz w:val="32"/>
          <w:szCs w:val="32"/>
        </w:rPr>
        <w:t>文化旅游。</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rPr>
        <w:t>长白山特产品加工业。</w:t>
      </w:r>
      <w:r>
        <w:rPr>
          <w:rFonts w:hint="default" w:ascii="Times New Roman" w:hAnsi="Times New Roman" w:eastAsia="仿宋_GB2312" w:cs="Times New Roman"/>
          <w:sz w:val="32"/>
          <w:szCs w:val="32"/>
        </w:rPr>
        <w:t>依托蛟河市优</w:t>
      </w:r>
      <w:r>
        <w:rPr>
          <w:rFonts w:hint="default" w:ascii="Times New Roman" w:hAnsi="Times New Roman" w:eastAsia="仿宋_GB2312" w:cs="Times New Roman"/>
          <w:sz w:val="32"/>
          <w:szCs w:val="32"/>
          <w:lang w:eastAsia="zh-CN"/>
        </w:rPr>
        <w:t>越</w:t>
      </w:r>
      <w:r>
        <w:rPr>
          <w:rFonts w:hint="default" w:ascii="Times New Roman" w:hAnsi="Times New Roman" w:eastAsia="仿宋_GB2312" w:cs="Times New Roman"/>
          <w:sz w:val="32"/>
          <w:szCs w:val="32"/>
        </w:rPr>
        <w:t>的区位条件和丰富的物产资源，建设以黑木耳、灵芝、人参、晒烟、长白山</w:t>
      </w:r>
      <w:r>
        <w:rPr>
          <w:rFonts w:hint="default" w:ascii="Times New Roman" w:hAnsi="Times New Roman" w:eastAsia="仿宋_GB2312" w:cs="Times New Roman"/>
          <w:sz w:val="32"/>
          <w:szCs w:val="32"/>
          <w:lang w:eastAsia="zh-CN"/>
        </w:rPr>
        <w:t>林</w:t>
      </w:r>
      <w:r>
        <w:rPr>
          <w:rFonts w:hint="default" w:ascii="Times New Roman" w:hAnsi="Times New Roman" w:eastAsia="仿宋_GB2312" w:cs="Times New Roman"/>
          <w:sz w:val="32"/>
          <w:szCs w:val="32"/>
        </w:rPr>
        <w:t>特产品、甜粘玉米、长白山黑牛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生态猪</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长白山冰酒为核心的长白山特产品基地，实施长白山特产品加工业振兴计划，实现长白山特产品产业化，提升长白山特产品价值。</w:t>
      </w:r>
      <w:r>
        <w:rPr>
          <w:rFonts w:hint="eastAsia" w:ascii="Times New Roman" w:hAnsi="Times New Roman" w:eastAsia="仿宋_GB2312" w:cs="Times New Roman"/>
          <w:sz w:val="32"/>
          <w:szCs w:val="32"/>
          <w:lang w:val="en-US" w:eastAsia="zh-CN"/>
        </w:rPr>
        <w:t xml:space="preserve">   </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两大特色优势产业</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现代特色农业。</w:t>
      </w:r>
      <w:r>
        <w:rPr>
          <w:rFonts w:hint="default" w:ascii="Times New Roman" w:hAnsi="Times New Roman" w:eastAsia="仿宋_GB2312" w:cs="Times New Roman"/>
          <w:sz w:val="32"/>
          <w:szCs w:val="32"/>
        </w:rPr>
        <w:t>发展现代农业，全面保障国家粮食安全和食品安全。在稳定粮食发展基础上，全面发展</w:t>
      </w:r>
      <w:r>
        <w:rPr>
          <w:rFonts w:hint="default" w:ascii="Times New Roman" w:hAnsi="Times New Roman" w:eastAsia="仿宋_GB2312" w:cs="Times New Roman"/>
          <w:sz w:val="32"/>
          <w:szCs w:val="32"/>
          <w:lang w:eastAsia="zh-CN"/>
        </w:rPr>
        <w:t>以</w:t>
      </w:r>
      <w:r>
        <w:rPr>
          <w:rFonts w:hint="default" w:ascii="Times New Roman" w:hAnsi="Times New Roman" w:eastAsia="仿宋_GB2312" w:cs="Times New Roman"/>
          <w:sz w:val="32"/>
          <w:szCs w:val="32"/>
        </w:rPr>
        <w:t>黑木耳、甜</w:t>
      </w:r>
      <w:r>
        <w:rPr>
          <w:rFonts w:hint="default" w:ascii="Times New Roman" w:hAnsi="Times New Roman" w:eastAsia="仿宋_GB2312" w:cs="Times New Roman"/>
          <w:sz w:val="32"/>
          <w:szCs w:val="32"/>
          <w:lang w:eastAsia="zh-CN"/>
        </w:rPr>
        <w:t>粘</w:t>
      </w:r>
      <w:r>
        <w:rPr>
          <w:rFonts w:hint="default" w:ascii="Times New Roman" w:hAnsi="Times New Roman" w:eastAsia="仿宋_GB2312" w:cs="Times New Roman"/>
          <w:sz w:val="32"/>
          <w:szCs w:val="32"/>
        </w:rPr>
        <w:t>玉米、晒烟、中草药种植和“三瓜”（西瓜、香瓜、地瓜）、山野菜、洋</w:t>
      </w:r>
      <w:r>
        <w:rPr>
          <w:rFonts w:hint="default" w:ascii="Times New Roman" w:hAnsi="Times New Roman" w:eastAsia="仿宋_GB2312" w:cs="Times New Roman"/>
          <w:sz w:val="32"/>
          <w:szCs w:val="32"/>
          <w:lang w:eastAsia="zh-CN"/>
        </w:rPr>
        <w:t>菇娘</w:t>
      </w:r>
      <w:r>
        <w:rPr>
          <w:rFonts w:hint="default" w:ascii="Times New Roman" w:hAnsi="Times New Roman" w:eastAsia="仿宋_GB2312" w:cs="Times New Roman"/>
          <w:sz w:val="32"/>
          <w:szCs w:val="32"/>
        </w:rPr>
        <w:t>、蓝莓等</w:t>
      </w:r>
      <w:r>
        <w:rPr>
          <w:rFonts w:hint="default" w:ascii="Times New Roman" w:hAnsi="Times New Roman" w:eastAsia="仿宋_GB2312" w:cs="Times New Roman"/>
          <w:sz w:val="32"/>
          <w:szCs w:val="32"/>
          <w:lang w:eastAsia="zh-CN"/>
        </w:rPr>
        <w:t>特色农产</w:t>
      </w:r>
      <w:r>
        <w:rPr>
          <w:rFonts w:hint="default" w:ascii="Times New Roman" w:hAnsi="Times New Roman" w:eastAsia="仿宋_GB2312" w:cs="Times New Roman"/>
          <w:sz w:val="32"/>
          <w:szCs w:val="32"/>
        </w:rPr>
        <w:t>品种植为核心的特色产业，夯实现代农业特色产业，促进乡村振兴，进一步巩固拓展脱贫攻坚成果。</w:t>
      </w: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循环石材产业。</w:t>
      </w:r>
      <w:r>
        <w:rPr>
          <w:rFonts w:hint="default" w:ascii="Times New Roman" w:hAnsi="Times New Roman" w:eastAsia="仿宋_GB2312" w:cs="Times New Roman"/>
          <w:sz w:val="32"/>
          <w:szCs w:val="32"/>
        </w:rPr>
        <w:t>树牢“绿水青山就是金山银山”的发展理念，强化石材矿山和石材企业环保治理和园区环境提档升级，全方位推广清洁生产，提高尾矿、尾粉综合利用率，积极创建国家级绿色矿山，打造绿色循环石材产业升级版。全力建成中国北部规模最大、功能最全、配套最完善的石材产业园，打造东北亚百亿级石材产业基地， 经过5年发展，力争实现“产值百亿、规上百家、百年产业”</w:t>
      </w: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个100的发展目标，形成全国石材产业南北中“三足鼎立”格局。</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rPr>
      </w:pPr>
      <w:bookmarkStart w:id="32" w:name="_Toc2975"/>
      <w:bookmarkStart w:id="33" w:name="_Toc55314877"/>
      <w:r>
        <w:rPr>
          <w:rFonts w:hint="eastAsia" w:ascii="方正小标宋简体" w:hAnsi="方正小标宋简体" w:eastAsia="方正小标宋简体" w:cs="方正小标宋简体"/>
          <w:b w:val="0"/>
          <w:bCs w:val="0"/>
        </w:rPr>
        <w:t>空间布局</w:t>
      </w:r>
      <w:bookmarkEnd w:id="32"/>
      <w:bookmarkEnd w:id="33"/>
    </w:p>
    <w:p>
      <w:pPr>
        <w:rPr>
          <w:rFonts w:hint="eastAsia"/>
        </w:rPr>
      </w:pP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rPr>
        <w:t>明确主体功能区定位，与国土空间规划有效衔接，科学合理确定城镇、农业和生态三类空间。以交通干线为骨架，立足自身资源优势，统筹长远经济发展，贯彻落实市委、市政府决策部署，推动产业差异化布局和集群化发展，增强产业聚集力、辐射力和可持续发展能力，</w:t>
      </w:r>
      <w:r>
        <w:rPr>
          <w:rFonts w:hint="default" w:ascii="Times New Roman" w:hAnsi="Times New Roman" w:eastAsia="仿宋_GB2312" w:cs="Times New Roman"/>
          <w:sz w:val="32"/>
          <w:szCs w:val="32"/>
          <w:shd w:val="clear" w:color="auto" w:fill="FFFFFF"/>
        </w:rPr>
        <w:t>加速形成定位清晰、功能互补、特色鲜明的“一主三双”的空间发展新格局。</w:t>
      </w:r>
    </w:p>
    <w:p>
      <w:pPr>
        <w:pageBreakBefore w:val="0"/>
        <w:widowControl w:val="0"/>
        <w:kinsoku/>
        <w:wordWrap/>
        <w:overflowPunct/>
        <w:topLinePunct w:val="0"/>
        <w:autoSpaceDE/>
        <w:autoSpaceDN/>
        <w:bidi w:val="0"/>
        <w:adjustRightInd/>
        <w:snapToGrid/>
        <w:spacing w:line="560" w:lineRule="exact"/>
        <w:ind w:left="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一主</w:t>
      </w:r>
    </w:p>
    <w:p>
      <w:pPr>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zh-CN"/>
        </w:rPr>
        <w:t>主体发展区。</w:t>
      </w:r>
      <w:r>
        <w:rPr>
          <w:rFonts w:hint="default" w:ascii="Times New Roman" w:hAnsi="Times New Roman" w:eastAsia="仿宋_GB2312" w:cs="Times New Roman"/>
          <w:sz w:val="32"/>
          <w:szCs w:val="32"/>
          <w:shd w:val="clear" w:color="auto" w:fill="FFFFFF"/>
        </w:rPr>
        <w:t>以蛟河市城区为主体发展区，</w:t>
      </w:r>
      <w:r>
        <w:rPr>
          <w:rFonts w:hint="default" w:ascii="Times New Roman" w:hAnsi="Times New Roman" w:eastAsia="仿宋_GB2312" w:cs="Times New Roman"/>
          <w:sz w:val="32"/>
          <w:szCs w:val="32"/>
        </w:rPr>
        <w:t>坚持产城融合发展，加快发展一体化市政基础设施，完善居住、商业、文教、卫生等城</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功能。</w:t>
      </w:r>
      <w:r>
        <w:rPr>
          <w:rFonts w:hint="default" w:ascii="Times New Roman" w:hAnsi="Times New Roman" w:eastAsia="仿宋_GB2312" w:cs="Times New Roman"/>
          <w:sz w:val="32"/>
          <w:szCs w:val="32"/>
          <w:shd w:val="clear" w:color="auto" w:fill="FFFFFF"/>
        </w:rPr>
        <w:t>发展城市经济要素，发挥城市经济的辐射带动作用。</w:t>
      </w:r>
      <w:r>
        <w:rPr>
          <w:rFonts w:hint="default" w:ascii="Times New Roman" w:hAnsi="Times New Roman" w:eastAsia="仿宋_GB2312" w:cs="Times New Roman"/>
          <w:sz w:val="32"/>
          <w:szCs w:val="32"/>
        </w:rPr>
        <w:t>培育壮大现代服务业和商贸产业，积极发挥大型商贸流通企业的引导和带动作用，促进节庆消费和品牌消费。优化商场功能配置，推动传统农贸市场转型升级，大力发展生鲜超市，加快市区“5分钟生活服务圈”建设，逐步完善商贸市场体系。</w:t>
      </w:r>
      <w:r>
        <w:rPr>
          <w:rFonts w:hint="default" w:ascii="Times New Roman" w:hAnsi="Times New Roman" w:eastAsia="仿宋_GB2312" w:cs="Times New Roman"/>
          <w:sz w:val="32"/>
          <w:szCs w:val="32"/>
          <w:shd w:val="clear" w:color="auto" w:fill="FFFFFF"/>
        </w:rPr>
        <w:t>完善城区功能和提升城市品位，充分发挥集聚、辐射和带动效应，</w:t>
      </w:r>
      <w:r>
        <w:rPr>
          <w:rFonts w:hint="default" w:ascii="Times New Roman" w:hAnsi="Times New Roman" w:eastAsia="仿宋_GB2312" w:cs="Times New Roman"/>
          <w:sz w:val="32"/>
          <w:szCs w:val="32"/>
        </w:rPr>
        <w:t>成为带动全市经济社会发展的核心增长</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双极</w:t>
      </w:r>
    </w:p>
    <w:p>
      <w:pPr>
        <w:pStyle w:val="55"/>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蛟河经济开发区发展极。</w:t>
      </w:r>
      <w:r>
        <w:rPr>
          <w:rFonts w:hint="default" w:ascii="Times New Roman" w:hAnsi="Times New Roman" w:eastAsia="仿宋_GB2312" w:cs="Times New Roman"/>
          <w:sz w:val="32"/>
          <w:szCs w:val="32"/>
        </w:rPr>
        <w:t>加大招商引资力度，创新发展医药健康产业，全面发展新能源新材料产业，规模化发展长白山特产品精深加工产业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增设蛟河经济开发区奶子山产业园区，培育畜禽规模化养殖、工业加工两大功能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争创全省产业示范园区，建成市域经济发展新增长极。加强基础设施、配套服务设施建设，完善园区功能，提高园区管理水平。大力开展“质量兴区、名牌兴业”活动，加强企业管理和服务，把企业自主创新能力作为调整经济结构、转变增长方式、提高企业竞争力的中心环节，努力提高企业经济效益。积极推进企业上市，利用各种方式开展融资工作。</w:t>
      </w:r>
      <w:r>
        <w:rPr>
          <w:rFonts w:hint="default" w:ascii="Times New Roman" w:hAnsi="Times New Roman" w:eastAsia="仿宋_GB2312" w:cs="Times New Roman"/>
          <w:sz w:val="32"/>
          <w:szCs w:val="32"/>
          <w:lang w:eastAsia="zh-CN"/>
        </w:rPr>
        <w:t>强化</w:t>
      </w:r>
      <w:r>
        <w:rPr>
          <w:rFonts w:hint="default" w:ascii="Times New Roman" w:hAnsi="Times New Roman" w:eastAsia="仿宋_GB2312" w:cs="Times New Roman"/>
          <w:sz w:val="32"/>
          <w:szCs w:val="32"/>
        </w:rPr>
        <w:t>软环境建设，不断完善管理体制，持续增强服务功能，营造更为优质的营商环境。</w:t>
      </w:r>
    </w:p>
    <w:p>
      <w:pPr>
        <w:pStyle w:val="55"/>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天岗石材产业园区发展极。</w:t>
      </w:r>
      <w:r>
        <w:rPr>
          <w:rFonts w:hint="default" w:ascii="Times New Roman" w:hAnsi="Times New Roman" w:eastAsia="仿宋_GB2312" w:cs="Times New Roman"/>
          <w:sz w:val="32"/>
          <w:szCs w:val="32"/>
        </w:rPr>
        <w:t>对标国家级绿色矿山标准，</w:t>
      </w:r>
      <w:r>
        <w:rPr>
          <w:rFonts w:hint="default" w:ascii="Times New Roman" w:hAnsi="Times New Roman" w:eastAsia="仿宋_GB2312" w:cs="Times New Roman"/>
          <w:kern w:val="0"/>
          <w:sz w:val="32"/>
          <w:szCs w:val="32"/>
        </w:rPr>
        <w:t>按照</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sz w:val="32"/>
          <w:szCs w:val="32"/>
        </w:rPr>
        <w:t>集群发展、园区承载</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sz w:val="32"/>
          <w:szCs w:val="32"/>
        </w:rPr>
        <w:t>的思路，引入循环经济理念，引导石材产业向生态工业转型，</w:t>
      </w:r>
      <w:r>
        <w:rPr>
          <w:rFonts w:hint="default" w:ascii="Times New Roman" w:hAnsi="Times New Roman" w:eastAsia="仿宋_GB2312" w:cs="Times New Roman"/>
          <w:sz w:val="32"/>
          <w:szCs w:val="32"/>
          <w:shd w:val="clear" w:color="auto" w:fill="FFFFFF"/>
        </w:rPr>
        <w:t>打造绿色循环石材产业升级版，</w:t>
      </w:r>
      <w:r>
        <w:rPr>
          <w:rFonts w:hint="default" w:ascii="Times New Roman" w:hAnsi="Times New Roman" w:eastAsia="仿宋_GB2312" w:cs="Times New Roman"/>
          <w:sz w:val="32"/>
          <w:szCs w:val="32"/>
        </w:rPr>
        <w:t>通过合理化开采，废物利用等手段，实现“资源一产品一再利用”的循环过程。推进石材产业的可持续发展，</w:t>
      </w:r>
      <w:r>
        <w:rPr>
          <w:rFonts w:hint="default" w:ascii="Times New Roman" w:hAnsi="Times New Roman" w:eastAsia="仿宋_GB2312" w:cs="Times New Roman"/>
          <w:kern w:val="0"/>
          <w:sz w:val="32"/>
          <w:szCs w:val="32"/>
        </w:rPr>
        <w:t>以构建</w:t>
      </w:r>
      <w:r>
        <w:rPr>
          <w:rFonts w:hint="default" w:ascii="Times New Roman" w:hAnsi="Times New Roman" w:eastAsia="仿宋_GB2312" w:cs="Times New Roman"/>
          <w:sz w:val="32"/>
          <w:szCs w:val="32"/>
        </w:rPr>
        <w:t>“东北亚石都”为目标，全力建设</w:t>
      </w:r>
      <w:r>
        <w:rPr>
          <w:rFonts w:hint="default" w:ascii="Times New Roman" w:hAnsi="Times New Roman" w:eastAsia="仿宋_GB2312" w:cs="Times New Roman"/>
          <w:kern w:val="0"/>
          <w:sz w:val="32"/>
          <w:szCs w:val="32"/>
        </w:rPr>
        <w:t>绿色、低碳、循环的</w:t>
      </w:r>
      <w:r>
        <w:rPr>
          <w:rFonts w:hint="default" w:ascii="Times New Roman" w:hAnsi="Times New Roman" w:eastAsia="仿宋_GB2312" w:cs="Times New Roman"/>
          <w:sz w:val="32"/>
          <w:szCs w:val="32"/>
        </w:rPr>
        <w:t>百亿级石材产业小镇。依托“互联网+”，赋能园区安全、管理、经营和服务环节，努力提升园区通信网络基础设施建设水平，打造管理数据化、应急主动化、设备智能化、服务精准化的新型智慧园区，形成蛟河市</w:t>
      </w:r>
      <w:r>
        <w:rPr>
          <w:rFonts w:hint="default" w:ascii="Times New Roman" w:hAnsi="Times New Roman" w:eastAsia="仿宋_GB2312" w:cs="Times New Roman"/>
          <w:sz w:val="32"/>
          <w:szCs w:val="32"/>
          <w:lang w:eastAsia="zh-CN"/>
        </w:rPr>
        <w:t>极具</w:t>
      </w:r>
      <w:r>
        <w:rPr>
          <w:rFonts w:hint="default" w:ascii="Times New Roman" w:hAnsi="Times New Roman" w:eastAsia="仿宋_GB2312" w:cs="Times New Roman"/>
          <w:sz w:val="32"/>
          <w:szCs w:val="32"/>
        </w:rPr>
        <w:t>综合竞争力的区域增长极。</w:t>
      </w:r>
    </w:p>
    <w:p>
      <w:pPr>
        <w:pStyle w:val="55"/>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双轴</w:t>
      </w:r>
    </w:p>
    <w:p>
      <w:pPr>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default" w:ascii="Times New Roman" w:hAnsi="Times New Roman" w:eastAsia="仿宋_GB2312" w:cs="Times New Roman"/>
          <w:sz w:val="32"/>
          <w:szCs w:val="32"/>
        </w:rPr>
      </w:pPr>
      <w:bookmarkStart w:id="34" w:name="_Hlk55226433"/>
      <w:r>
        <w:rPr>
          <w:rFonts w:hint="default" w:ascii="Times New Roman" w:hAnsi="Times New Roman" w:eastAsia="仿宋_GB2312" w:cs="Times New Roman"/>
          <w:b/>
          <w:bCs/>
          <w:sz w:val="32"/>
          <w:szCs w:val="32"/>
        </w:rPr>
        <w:t>长吉图产业联动发展轴。</w:t>
      </w:r>
      <w:r>
        <w:rPr>
          <w:rFonts w:hint="default" w:ascii="Times New Roman" w:hAnsi="Times New Roman" w:eastAsia="仿宋_GB2312" w:cs="Times New Roman"/>
          <w:sz w:val="32"/>
          <w:szCs w:val="32"/>
        </w:rPr>
        <w:t>以G12珲乌高速公路、G302国道珲阿线为依托，西部对接吉林市和长春市，东部对接延吉市，贯通联动天岗镇、天北镇和乌林朝鲜族乡特色产业，打造长吉图产业联动发展轴。依托吉林省东西向交通大动脉，实现蛟河市客流、信息流和物流的输送。</w:t>
      </w:r>
    </w:p>
    <w:p>
      <w:pPr>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生态涵养文化旅游体验轴。</w:t>
      </w:r>
      <w:bookmarkEnd w:id="34"/>
      <w:r>
        <w:rPr>
          <w:rFonts w:hint="default" w:ascii="Times New Roman" w:hAnsi="Times New Roman" w:eastAsia="仿宋_GB2312" w:cs="Times New Roman"/>
          <w:sz w:val="32"/>
          <w:szCs w:val="32"/>
        </w:rPr>
        <w:t>以蛟河市南北向交通大通道G222国道嘉临线为依托，打造依山傍水、生态涵养文化旅游体验轴：北部连通以山地、森林等生态资源和红色地域文化资源为核心的新站镇与前进乡，南部连通以松花湖水系资源和特色文化为核心的漂河镇，联动蛟河市南北向生态文化、民俗文化、历史文化、红色文化、冰雪文化等独具“蛟河符号”的多元文化，实现蛟河市南北向文化旅游产业的连通。</w:t>
      </w:r>
    </w:p>
    <w:p>
      <w:pPr>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双区</w:t>
      </w:r>
    </w:p>
    <w:p>
      <w:pPr>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lang w:val="zh-CN"/>
        </w:rPr>
        <w:t>生态旅游康养区。</w:t>
      </w:r>
      <w:r>
        <w:rPr>
          <w:rFonts w:hint="default" w:ascii="Times New Roman" w:hAnsi="Times New Roman" w:eastAsia="仿宋_GB2312" w:cs="Times New Roman"/>
          <w:sz w:val="32"/>
          <w:szCs w:val="32"/>
        </w:rPr>
        <w:t>以庆岭镇和松江镇为生态旅游康养区，树立生态保育和环境保护理念，以统筹人与自然和谐发展为准则，依托良好的自然生态环境和独特的人文生态系统，采取生态友好方式，以生态涵养、环境保护为重点，构建生态廊道，增强自然生态旅游服务功能，提高农业休闲旅游采摘产品供给能力，因地制宜发展生态旅游、康养度假旅游、乡村旅游、自驾旅游等业态。加快打造松花湖畔高端生态康养度假旅游项目</w:t>
      </w:r>
      <w:r>
        <w:rPr>
          <w:rFonts w:hint="default" w:ascii="Times New Roman" w:hAnsi="Times New Roman" w:eastAsia="仿宋_GB2312" w:cs="Times New Roman"/>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50" w:lineRule="exact"/>
        <w:ind w:left="0" w:firstLine="482"/>
        <w:textAlignment w:val="auto"/>
      </w:pPr>
      <w:r>
        <w:rPr>
          <w:rFonts w:hint="default" w:ascii="Times New Roman" w:hAnsi="Times New Roman" w:eastAsia="仿宋_GB2312" w:cs="Times New Roman"/>
          <w:b/>
          <w:bCs/>
          <w:sz w:val="32"/>
          <w:szCs w:val="32"/>
          <w:lang w:val="zh-CN"/>
        </w:rPr>
        <w:t>现代农业产业区。</w:t>
      </w:r>
      <w:r>
        <w:rPr>
          <w:rFonts w:hint="default" w:ascii="Times New Roman" w:hAnsi="Times New Roman" w:eastAsia="仿宋_GB2312" w:cs="Times New Roman"/>
          <w:sz w:val="32"/>
          <w:szCs w:val="32"/>
        </w:rPr>
        <w:t>以白石山镇和黄松甸镇为现代农业产业区，全面推进农产品标准化、规模化生产，加快发展高端设施农业，加快集中连片基地建设，集中连片发展优质黑木耳、晒烟、地瓜、西瓜、香瓜等特色优质经济农作物，推进优势农产品品牌化经营，着力培植和提升黄松甸黑木耳、白石山“三瓜”、粘玉米等一批“地标”产品，力争打造一批具有全国影响力的品牌。进一步提升黑木耳加工水平，加快食用菌特色小镇建设，重点发展黑木耳深加工。提升农业休闲功能，精心举办各类涉农节会活动，完善农业生态服务功能，建设农田高效人工生态系统。</w:t>
      </w:r>
    </w:p>
    <w:p>
      <w:r>
        <w:drawing>
          <wp:inline distT="0" distB="0" distL="0" distR="0">
            <wp:extent cx="4921885" cy="4788535"/>
            <wp:effectExtent l="0" t="0" r="1206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l="9386" r="17909"/>
                    <a:stretch>
                      <a:fillRect/>
                    </a:stretch>
                  </pic:blipFill>
                  <pic:spPr>
                    <a:xfrm>
                      <a:off x="0" y="0"/>
                      <a:ext cx="4930529" cy="4796990"/>
                    </a:xfrm>
                    <a:prstGeom prst="rect">
                      <a:avLst/>
                    </a:prstGeom>
                    <a:noFill/>
                    <a:ln>
                      <a:noFill/>
                    </a:ln>
                  </pic:spPr>
                </pic:pic>
              </a:graphicData>
            </a:graphic>
          </wp:inline>
        </w:drawing>
      </w:r>
    </w:p>
    <w:p>
      <w:pPr>
        <w:ind w:firstLine="0"/>
        <w:jc w:val="center"/>
        <w:rPr>
          <w:rFonts w:hint="eastAsia" w:ascii="仿宋_GB2312" w:hAnsi="仿宋_GB2312" w:eastAsia="仿宋_GB2312" w:cs="仿宋_GB2312"/>
          <w:b w:val="0"/>
          <w:bCs w:val="0"/>
        </w:rPr>
      </w:pPr>
      <w:r>
        <w:rPr>
          <w:rFonts w:hint="eastAsia" w:ascii="仿宋_GB2312" w:hAnsi="仿宋_GB2312" w:eastAsia="仿宋_GB2312" w:cs="仿宋_GB2312"/>
          <w:b w:val="0"/>
          <w:bCs w:val="0"/>
        </w:rPr>
        <w:t>“十四五”时期空间布局规划图</w:t>
      </w:r>
    </w:p>
    <w:p>
      <w:pPr>
        <w:pStyle w:val="55"/>
      </w:pPr>
    </w:p>
    <w:p>
      <w:pPr>
        <w:ind w:firstLine="0"/>
      </w:pPr>
      <w:r>
        <w:br w:type="page"/>
      </w:r>
    </w:p>
    <w:p>
      <w:pPr>
        <w:pStyle w:val="3"/>
        <w:pageBreakBefore w:val="0"/>
        <w:widowControl w:val="0"/>
        <w:kinsoku/>
        <w:wordWrap/>
        <w:overflowPunct/>
        <w:topLinePunct w:val="0"/>
        <w:autoSpaceDE/>
        <w:autoSpaceDN/>
        <w:bidi w:val="0"/>
        <w:adjustRightInd/>
        <w:snapToGrid/>
        <w:spacing w:beforeLines="0" w:afterLines="0" w:line="560" w:lineRule="exact"/>
        <w:ind w:left="0"/>
        <w:textAlignment w:val="auto"/>
        <w:rPr>
          <w:rFonts w:hint="default" w:ascii="Times New Roman" w:hAnsi="Times New Roman" w:eastAsia="仿宋_GB2312" w:cs="Times New Roman"/>
          <w:b/>
          <w:bCs/>
          <w:sz w:val="32"/>
          <w:szCs w:val="32"/>
        </w:rPr>
      </w:pPr>
      <w:bookmarkStart w:id="35" w:name="_Toc55314878"/>
      <w:bookmarkStart w:id="36" w:name="_Toc54275585"/>
      <w:bookmarkStart w:id="37" w:name="_Toc26612"/>
      <w:bookmarkStart w:id="38" w:name="_Toc60232818"/>
      <w:r>
        <w:rPr>
          <w:rFonts w:hint="default" w:ascii="Times New Roman" w:hAnsi="Times New Roman" w:eastAsia="仿宋_GB2312" w:cs="Times New Roman"/>
          <w:b/>
          <w:bCs/>
          <w:sz w:val="32"/>
          <w:szCs w:val="32"/>
        </w:rPr>
        <w:t>经济高质量发展</w:t>
      </w:r>
      <w:bookmarkEnd w:id="35"/>
      <w:bookmarkEnd w:id="36"/>
      <w:r>
        <w:rPr>
          <w:rFonts w:hint="default" w:ascii="Times New Roman" w:hAnsi="Times New Roman" w:eastAsia="仿宋_GB2312" w:cs="Times New Roman"/>
          <w:b/>
          <w:bCs/>
          <w:sz w:val="32"/>
          <w:szCs w:val="32"/>
        </w:rPr>
        <w:t>篇</w:t>
      </w:r>
      <w:bookmarkEnd w:id="37"/>
      <w:bookmarkEnd w:id="38"/>
    </w:p>
    <w:p>
      <w:pPr>
        <w:pageBreakBefore w:val="0"/>
        <w:widowControl w:val="0"/>
        <w:kinsoku/>
        <w:wordWrap/>
        <w:overflowPunct/>
        <w:topLinePunct w:val="0"/>
        <w:autoSpaceDE/>
        <w:autoSpaceDN/>
        <w:bidi w:val="0"/>
        <w:adjustRightInd/>
        <w:snapToGrid/>
        <w:spacing w:line="560" w:lineRule="exact"/>
        <w:ind w:left="0"/>
        <w:textAlignment w:val="auto"/>
        <w:rPr>
          <w:rFonts w:hint="default"/>
        </w:rPr>
      </w:pPr>
    </w:p>
    <w:p>
      <w:pPr>
        <w:pStyle w:val="4"/>
        <w:pageBreakBefore w:val="0"/>
        <w:widowControl w:val="0"/>
        <w:kinsoku/>
        <w:wordWrap/>
        <w:overflowPunct/>
        <w:topLinePunct w:val="0"/>
        <w:autoSpaceDE/>
        <w:autoSpaceDN/>
        <w:bidi w:val="0"/>
        <w:adjustRightInd/>
        <w:snapToGrid/>
        <w:spacing w:beforeLines="0" w:afterLines="0" w:line="560" w:lineRule="exact"/>
        <w:ind w:left="0"/>
        <w:textAlignment w:val="auto"/>
        <w:rPr>
          <w:rFonts w:hint="default" w:ascii="Times New Roman" w:hAnsi="Times New Roman" w:eastAsia="仿宋_GB2312" w:cs="Times New Roman"/>
          <w:b/>
          <w:bCs/>
          <w:sz w:val="32"/>
          <w:szCs w:val="32"/>
        </w:rPr>
      </w:pPr>
      <w:bookmarkStart w:id="39" w:name="_Toc11674"/>
      <w:bookmarkStart w:id="40" w:name="_Toc60232819"/>
      <w:bookmarkStart w:id="41" w:name="_Toc54275586"/>
      <w:bookmarkStart w:id="42" w:name="_Toc55314879"/>
      <w:r>
        <w:rPr>
          <w:rFonts w:hint="default" w:ascii="Times New Roman" w:hAnsi="Times New Roman" w:eastAsia="仿宋_GB2312" w:cs="Times New Roman"/>
          <w:b/>
          <w:bCs/>
          <w:sz w:val="32"/>
          <w:szCs w:val="32"/>
        </w:rPr>
        <w:t>加快构建现代农业三大体系</w:t>
      </w:r>
      <w:bookmarkEnd w:id="39"/>
      <w:bookmarkEnd w:id="40"/>
      <w:bookmarkEnd w:id="41"/>
      <w:bookmarkEnd w:id="42"/>
    </w:p>
    <w:p>
      <w:pPr>
        <w:pageBreakBefore w:val="0"/>
        <w:widowControl w:val="0"/>
        <w:kinsoku/>
        <w:wordWrap/>
        <w:overflowPunct/>
        <w:topLinePunct w:val="0"/>
        <w:autoSpaceDE/>
        <w:autoSpaceDN/>
        <w:bidi w:val="0"/>
        <w:adjustRightInd/>
        <w:snapToGrid/>
        <w:spacing w:line="560" w:lineRule="exact"/>
        <w:ind w:left="0"/>
        <w:textAlignment w:val="auto"/>
        <w:rPr>
          <w:rFonts w:hint="default"/>
        </w:rPr>
      </w:pP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深入贯彻习近平总书记重要讲话精神，紧扣率先实现农业现代化、争当现代农业建设排头兵总要求，坚持农业农村优先发展总方针，以实施乡村振兴战略为总抓手，加快转变农业发展方式，强化农业科技和装备支撑，加大高标准农田建设，做好有机肥还田，坚持农业现代化和农村现代化一体设计、一体推进，积极扶持家庭农场、农民合作社等新型农业经营主体，促进农业全面升级、农村全面进步、农民全面发展，为新时代蛟河全面振兴全方位振兴打牢“三农”基础。</w:t>
      </w:r>
    </w:p>
    <w:p>
      <w:pPr>
        <w:pStyle w:val="2"/>
        <w:pageBreakBefore w:val="0"/>
        <w:widowControl w:val="0"/>
        <w:kinsoku/>
        <w:wordWrap/>
        <w:overflowPunct/>
        <w:topLinePunct w:val="0"/>
        <w:autoSpaceDE/>
        <w:autoSpaceDN/>
        <w:bidi w:val="0"/>
        <w:adjustRightInd/>
        <w:snapToGrid/>
        <w:spacing w:line="560" w:lineRule="exact"/>
        <w:ind w:left="0"/>
        <w:textAlignment w:val="auto"/>
        <w:rPr>
          <w:rFonts w:hint="default"/>
        </w:rPr>
      </w:pPr>
    </w:p>
    <w:p>
      <w:pPr>
        <w:pStyle w:val="5"/>
        <w:pageBreakBefore w:val="0"/>
        <w:widowControl w:val="0"/>
        <w:numPr>
          <w:ilvl w:val="0"/>
          <w:numId w:val="10"/>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43" w:name="_Toc18778"/>
      <w:bookmarkStart w:id="44" w:name="_Toc7731"/>
      <w:bookmarkStart w:id="45" w:name="_Toc7020"/>
      <w:bookmarkStart w:id="46" w:name="_Toc55314880"/>
      <w:r>
        <w:rPr>
          <w:rFonts w:hint="eastAsia" w:ascii="方正小标宋简体" w:hAnsi="方正小标宋简体" w:eastAsia="方正小标宋简体" w:cs="方正小标宋简体"/>
          <w:b w:val="0"/>
          <w:bCs w:val="0"/>
          <w:sz w:val="32"/>
          <w:szCs w:val="32"/>
        </w:rPr>
        <w:t>加快建设现代农业生产体系</w:t>
      </w:r>
      <w:bookmarkEnd w:id="43"/>
      <w:bookmarkEnd w:id="44"/>
      <w:bookmarkEnd w:id="45"/>
      <w:bookmarkEnd w:id="46"/>
      <w:bookmarkStart w:id="47" w:name="_Toc7908"/>
    </w:p>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firstLine="964" w:firstLineChars="300"/>
        <w:jc w:val="both"/>
        <w:textAlignment w:val="auto"/>
        <w:rPr>
          <w:rFonts w:hint="eastAsia" w:ascii="Times New Roman" w:hAnsi="Times New Roman" w:eastAsia="仿宋_GB2312" w:cs="Times New Roman"/>
          <w:sz w:val="32"/>
          <w:szCs w:val="32"/>
          <w:lang w:eastAsia="zh-CN"/>
        </w:rPr>
      </w:pPr>
    </w:p>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firstLine="960" w:firstLineChars="3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加强耕地保护和建设</w:t>
      </w:r>
      <w:bookmarkEnd w:id="47"/>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全面落实永久基本农田特殊保护制度。</w:t>
      </w:r>
      <w:r>
        <w:rPr>
          <w:rFonts w:hint="default" w:ascii="Times New Roman" w:hAnsi="Times New Roman" w:eastAsia="仿宋_GB2312" w:cs="Times New Roman"/>
          <w:sz w:val="32"/>
          <w:szCs w:val="32"/>
        </w:rPr>
        <w:t>坚持最严格的耕地保护制度，严守耕地和永久基本农田保护线，防止耕地“非农化”。严格控制未利用地开垦，落实和完善耕地占补平衡制度，全面推进建设占用耕地耕作层土壤剥离再利用。实施耕地保护提升行动，确保耕地质量水平稳中提升。</w:t>
      </w:r>
      <w:bookmarkStart w:id="48" w:name="_Hlk58863238"/>
      <w:r>
        <w:rPr>
          <w:rFonts w:hint="default" w:ascii="Times New Roman" w:hAnsi="Times New Roman" w:eastAsia="仿宋_GB2312" w:cs="Times New Roman"/>
          <w:sz w:val="32"/>
          <w:szCs w:val="32"/>
        </w:rPr>
        <w:t>到2025年，确保永久基本农田保护面积不低于157.91万亩，耕地保有量稳定在181.35万亩，耕地质量水平稳中有升</w:t>
      </w:r>
      <w:bookmarkEnd w:id="48"/>
      <w:r>
        <w:rPr>
          <w:rFonts w:hint="default" w:ascii="Times New Roman" w:hAnsi="Times New Roman" w:eastAsia="仿宋_GB2312" w:cs="Times New Roman"/>
          <w:sz w:val="32"/>
          <w:szCs w:val="32"/>
        </w:rPr>
        <w:t>。</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做好“两区”划建管护。</w:t>
      </w:r>
      <w:r>
        <w:rPr>
          <w:rFonts w:hint="default" w:ascii="Times New Roman" w:hAnsi="Times New Roman" w:eastAsia="仿宋_GB2312" w:cs="Times New Roman"/>
          <w:sz w:val="32"/>
          <w:szCs w:val="32"/>
        </w:rPr>
        <w:t>加快划定粮食生产功能区和重要农产品生产保护区，细化落实到具体地块、建档立卡、上图入库，综合运用现代信息技术，定期对“两区”范围内的农作物品种和种植面积进行动态监测，实现信息化、精准化管理。按照“两区”精准化建管政策，采取先建后补、以奖代补的方式，对农田水利等基础设施项目按比例给予奖补。发展适度规模经营，依法推动“两区”范围内土地经营权规范有序流转。引导和支持“两区”范围内的经营主体根据市场需要，优化生产结构，增加绿色优质农产品供给。鼓励农民、农村集体经济组织、新型经营主体等参与监管运营，将农业基础设施管护责任精准落实到经营主体。持续打造漂河、河南、松江、新农、庆岭等5个乡镇街共60万亩专用玉米种植核心基地和新站、黄松甸、乌林、白石山、前进等5个乡镇街共5万亩优质大豆种植核心基地。</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加强高标准农田建设。</w:t>
      </w:r>
      <w:r>
        <w:rPr>
          <w:rFonts w:hint="default" w:ascii="Times New Roman" w:hAnsi="Times New Roman" w:eastAsia="仿宋_GB2312" w:cs="Times New Roman"/>
          <w:sz w:val="32"/>
          <w:szCs w:val="32"/>
        </w:rPr>
        <w:t>全力推进农村土地整治和高标准农田建设，稳步提升耕地质量。打造成旱能灌、涝能排、控制黑土</w:t>
      </w:r>
      <w:r>
        <w:rPr>
          <w:rFonts w:hint="default" w:ascii="Times New Roman" w:hAnsi="Times New Roman" w:eastAsia="仿宋_GB2312" w:cs="Times New Roman"/>
          <w:sz w:val="32"/>
          <w:szCs w:val="32"/>
          <w:lang w:eastAsia="zh-CN"/>
        </w:rPr>
        <w:t>地</w:t>
      </w:r>
      <w:r>
        <w:rPr>
          <w:rFonts w:hint="default" w:ascii="Times New Roman" w:hAnsi="Times New Roman" w:eastAsia="仿宋_GB2312" w:cs="Times New Roman"/>
          <w:sz w:val="32"/>
          <w:szCs w:val="32"/>
        </w:rPr>
        <w:t>流失、保水保肥、高产稳产的高标准农田及黑土地保护建设项目区。实施黑土地保护利用工程，深入落实黑土地保护奖补政策。开展高标准农田建设和中低产田改造行动，形成旱涝稳产、绿色生态、适宜全程机械化作业的高标准农田。以集中连片、整体推进为原则，优先在拉法街、新站镇、乌林乡、前进乡等乡镇街建设高标准农田42万亩。</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保障国家粮食安全。</w:t>
      </w:r>
      <w:r>
        <w:rPr>
          <w:rFonts w:hint="default" w:ascii="Times New Roman" w:hAnsi="Times New Roman" w:eastAsia="仿宋_GB2312" w:cs="Times New Roman"/>
          <w:sz w:val="32"/>
          <w:szCs w:val="32"/>
        </w:rPr>
        <w:t>落实乡村振兴战略和国家粮食安全战略，坚决扛稳国家粮食安全政治责任，全力实现粮食连续稳产高产，增强农业综合生产能力和抗风险能力。全面开展黑土地保护行动，积极推广粮食增产技术，重点试验推广保护性耕作、玉米免耕、水稻综合种养等重大项目。科学引导农民调整粮食种植结构，大力发展专用玉米、绿色优势水稻和特色大豆。2025年，粮食作物播种面积力争达到180万亩以上，粮食总产量保持在85万吨以上。重大技术推广实现新突破。市乡两级建成了完整的技术推广体系，常规技术全面推广，重大病虫害做到了统防统治，生资安全、农机安全、农产品安全监管水平全面提升。防雹增雨网络实现全覆盖。安全农业、智慧农业开始在农业生产应用。</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加强农田水利建设。</w:t>
      </w:r>
      <w:r>
        <w:rPr>
          <w:rFonts w:hint="default" w:ascii="Times New Roman" w:hAnsi="Times New Roman" w:eastAsia="仿宋_GB2312" w:cs="Times New Roman"/>
          <w:sz w:val="32"/>
          <w:szCs w:val="32"/>
        </w:rPr>
        <w:t>加快建立高效利用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蓄引提调相结合的供排水系统，积极推进河流水系连通和河塘清淤等工程建设。大力发展节水农业，积极推广渠道防渗、管道输水、喷灌、微灌等节水灌溉技术。积极推进涝区治理建设，对全市涝区进行全面治理，重点对全市排涝站全部进行升级改造</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机电设备更新和泵房维修。统筹推进灌渠、机耕路、水库除险加固、中小河流治理工程等农田水利工程建设，推进小型农田水利设施达标提质，建设一批高效节水灌溉工程。到 2025 年全市农田有效灌溉面积达到110万亩以上。</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bookmarkStart w:id="49" w:name="_Toc10438"/>
      <w:r>
        <w:rPr>
          <w:rFonts w:hint="default" w:ascii="Times New Roman" w:hAnsi="Times New Roman" w:eastAsia="仿宋_GB2312" w:cs="Times New Roman"/>
          <w:b/>
          <w:bCs/>
          <w:sz w:val="32"/>
          <w:szCs w:val="32"/>
        </w:rPr>
        <w:t>加快林业建设步伐。</w:t>
      </w:r>
      <w:r>
        <w:rPr>
          <w:rFonts w:hint="default" w:ascii="Times New Roman" w:hAnsi="Times New Roman" w:eastAsia="仿宋_GB2312" w:cs="Times New Roman"/>
          <w:sz w:val="32"/>
          <w:szCs w:val="32"/>
        </w:rPr>
        <w:t>重点落实深化林业改革发展，提高林业富民能力，提升生态文明理念，加强灾害防控能力，夯实林业发展基础。围绕重大工程项目、重大林业政策、重大改革举措“三个重大”确定规划方向，为实现林业现代化奠定基础。“十四五”期间，重点推进国有林场办公用房的维修、道路建设、基层林业站标准化建设等基础设施建设工程</w:t>
      </w:r>
      <w:r>
        <w:rPr>
          <w:rFonts w:hint="default" w:ascii="Times New Roman" w:hAnsi="Times New Roman" w:eastAsia="仿宋_GB2312" w:cs="Times New Roman"/>
          <w:sz w:val="32"/>
          <w:szCs w:val="32"/>
          <w:lang w:eastAsia="zh-CN"/>
        </w:rPr>
        <w:t>及</w:t>
      </w:r>
      <w:r>
        <w:rPr>
          <w:rFonts w:hint="default" w:ascii="Times New Roman" w:hAnsi="Times New Roman" w:eastAsia="仿宋_GB2312" w:cs="Times New Roman"/>
          <w:sz w:val="32"/>
          <w:szCs w:val="32"/>
        </w:rPr>
        <w:t>国有林场林区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国有林场防火、防虫灾害项目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国有林场造林、中幼龄林抚育、林木种苗基地建设项目等工作。</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强化农业科技支撑</w:t>
      </w:r>
      <w:bookmarkEnd w:id="49"/>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建立科技强农支撑体系。</w:t>
      </w:r>
      <w:r>
        <w:rPr>
          <w:rFonts w:hint="default" w:ascii="Times New Roman" w:hAnsi="Times New Roman" w:eastAsia="仿宋_GB2312" w:cs="Times New Roman"/>
          <w:sz w:val="32"/>
          <w:szCs w:val="32"/>
        </w:rPr>
        <w:t>构建适应全市农业结构调整、发展方式转变、一二三产业融合发展的科技创新与转化体系，加快提升科技创新与应用能力，到 2025年，全市农业科技创新贡献率达到65%，农业科技应用水平总体上达到国内中上游水平。推广绿色防控、保护性耕作、航化作业等增产增效技术。</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加快农业科技成果转化应用。</w:t>
      </w:r>
      <w:r>
        <w:rPr>
          <w:rFonts w:hint="default" w:ascii="Times New Roman" w:hAnsi="Times New Roman" w:eastAsia="仿宋_GB2312" w:cs="Times New Roman"/>
          <w:sz w:val="32"/>
          <w:szCs w:val="32"/>
        </w:rPr>
        <w:t>推广农作物绿色优质集成配套栽培技术，实现良种良法、农艺农机相结合；在生产上要科学控水、深浅交替、科学合理灌溉；引进推广优良畜禽品种，突出生猪、肉牛和家禽主导产业，加强黑毛牛、黑猪等特色畜禽品种改良和选育，全面提高畜禽良种供应能力，构建与现代畜牧业发展相适应的现代畜禽良种繁育体系。</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全面组织实施“农村劳动力综合素质提升”工程。</w:t>
      </w:r>
      <w:r>
        <w:rPr>
          <w:rFonts w:hint="default" w:ascii="Times New Roman" w:hAnsi="Times New Roman" w:eastAsia="仿宋_GB2312" w:cs="Times New Roman"/>
          <w:sz w:val="32"/>
          <w:szCs w:val="32"/>
        </w:rPr>
        <w:t>全面开展农业实用技术培训，提高农业实用技术到户率和到田率。大力加强农民科技培训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重点加强科技示范户培训，培育农业生产的技术骨干，切实提高农民依托科技提升农业产量和产品质量的能力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推动蛟河率先实现农业现代化，真正实现农业大市向农业强市的转变。</w:t>
      </w:r>
      <w:bookmarkStart w:id="50" w:name="_Toc30925"/>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加快提升农业综合机械化水平</w:t>
      </w:r>
      <w:bookmarkEnd w:id="50"/>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全面提升全市农业机械化装备能力和作业水平。</w:t>
      </w:r>
      <w:r>
        <w:rPr>
          <w:rFonts w:hint="default" w:ascii="Times New Roman" w:hAnsi="Times New Roman" w:eastAsia="仿宋_GB2312" w:cs="Times New Roman"/>
          <w:sz w:val="32"/>
          <w:szCs w:val="32"/>
        </w:rPr>
        <w:t>加强全程机械化示范区建设，重点以水稻插秧、玉米收获为突破口，加快推进粮食生产全程机械化，促进农机农艺技术融合，推广一批农机新技术，扩大保护性耕作、农机深松整地、机械精密播种、机械施肥等新技术的推广面积，推广水田机械插秧，机械药剂除草等技术。大力发展农业机械化新型经营主体，扶持发展一批农机大户与农机联合体，以成建制方式推进农业机械化新型主体率先实现农业现代化，示范引领周边乡村加快现代农业建设。到 2025年，农业综合机械化率达到85%以上，宜机耕地机械耕整地作业水平达到 95%以上，主要粮食作物率先基本实现机械化。</w:t>
      </w:r>
      <w:bookmarkStart w:id="51" w:name="_Toc22565"/>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加快数字农业建设</w:t>
      </w:r>
      <w:bookmarkEnd w:id="51"/>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实施数字吉林战略总体部署，以产业数字化为发展主线，以数字技术与农业农村经济深度融合为主攻方向，着力建设基础数据资源体系，加快农业农村生产经营、管理服务数字化改造，推动各类信息系统和公共数据互联开放共享。</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加强数字农业平台建设。</w:t>
      </w:r>
      <w:r>
        <w:rPr>
          <w:rFonts w:hint="default" w:ascii="Times New Roman" w:hAnsi="Times New Roman" w:eastAsia="仿宋_GB2312" w:cs="Times New Roman"/>
          <w:sz w:val="32"/>
          <w:szCs w:val="32"/>
        </w:rPr>
        <w:t>推进“蛟河市域智慧农业服务管理平台”建设，率先推进农机作业管理信息化。加快构建休闲农业基本信息数据库，采集全市休闲农业和乡村旅游各类主体数量、布局及基础业务数据等信息。建设数字农业智创中心，推进未来智慧农业园的设计、规划、研究与实施建设。深入实施信息进村入户工程，全面推进村级益农信息社建设。到2025年，信息服务站实现全市行政村全覆盖。</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实施农业数字化工程。</w:t>
      </w:r>
      <w:r>
        <w:rPr>
          <w:rFonts w:hint="default" w:ascii="Times New Roman" w:hAnsi="Times New Roman" w:eastAsia="仿宋_GB2312" w:cs="Times New Roman"/>
          <w:sz w:val="32"/>
          <w:szCs w:val="32"/>
        </w:rPr>
        <w:t>统筹规划建设基础信息资源和重要领域数据资源，依托国家“互联网+”农产品出村进城工程试点县建设，加快推进“互联网+现代农业”。建立健全全市农业农村数据资源体系，增强经济活动全要素、全链条、全过程的大数据掌控能力。通过政府购买服务形式，推进数字产品的普及应用，建立健全大数据辅助农业科学决策，推进乡村管理和服务模式创新。实施农业生产过程监测体系建设工程，开展农情、植保、病虫害、气象、作物识别、长势监测、产量预估等数据实时监测与分析。实施农业投入品管理大数据平台建设工程，推行农户农资购买卡制度，全面构建农资产品源头可追溯、流向可跟踪、信息可查询、产品可召回的监管与溯源体系和农业投入品管理大数据，推进农产品质量安全在线追溯、监管、监测、评估和执法。</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加快推进“互联网+现代农业”。</w:t>
      </w:r>
      <w:r>
        <w:rPr>
          <w:rFonts w:hint="default" w:ascii="Times New Roman" w:hAnsi="Times New Roman" w:eastAsia="仿宋_GB2312" w:cs="Times New Roman"/>
          <w:sz w:val="32"/>
          <w:szCs w:val="32"/>
        </w:rPr>
        <w:t>综合运用大数据、移动互联网等技术，扩大玉米、水稻、畜牧、园艺特产业等物联网区域示范项目。建立监测全面、预报精准、服务精细的现代化气象服务体系，全面提升气象为农服务能力。积极推进设施农业发展，大力推广食用菌、蔬菜、花卉等标准化棚室建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到2025年农作物良种覆盖率达到100%，各项新技术普及率达到95%。</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积极发展智慧气象。</w:t>
      </w:r>
      <w:r>
        <w:rPr>
          <w:rFonts w:hint="default" w:ascii="Times New Roman" w:hAnsi="Times New Roman" w:eastAsia="仿宋_GB2312" w:cs="Times New Roman"/>
          <w:sz w:val="32"/>
          <w:szCs w:val="32"/>
        </w:rPr>
        <w:t>在气象卫星平台</w:t>
      </w:r>
      <w:r>
        <w:rPr>
          <w:rFonts w:hint="default" w:ascii="Times New Roman" w:hAnsi="Times New Roman" w:eastAsia="仿宋_GB2312" w:cs="Times New Roman"/>
          <w:sz w:val="32"/>
          <w:szCs w:val="32"/>
          <w:lang w:eastAsia="zh-CN"/>
        </w:rPr>
        <w:t>连</w:t>
      </w:r>
      <w:r>
        <w:rPr>
          <w:rFonts w:hint="default" w:ascii="Times New Roman" w:hAnsi="Times New Roman" w:eastAsia="仿宋_GB2312" w:cs="Times New Roman"/>
          <w:sz w:val="32"/>
          <w:szCs w:val="32"/>
        </w:rPr>
        <w:t>接县域数字农业平台接口，建成以高分辨率区域数值模式及其应用为核心的精准化预报预测技术支撑体系。发展以“互联网+”为基础的智慧农业气象服务，逐步实现大面积重大农业气象灾害的灾前预警、灾中跟踪、灾后评估及减灾对策业务服务。加快推进人工影响天气作业高炮的智能化改造，开展“市-乡镇人工影响天气作业站”两级人工影响天气装备弹药物联网建设，提高安全性能和防雹减灾能力，继续完善标准化作业站建设，使标准化率达到90%以上，优化完善人工影响天气作业体系，保障人工影响天气作业效率。到2025年，智慧农业气象服务覆盖90%的新型农业经营主体。</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实施“智慧农业”行动。</w:t>
      </w:r>
      <w:r>
        <w:rPr>
          <w:rFonts w:hint="default" w:ascii="Times New Roman" w:hAnsi="Times New Roman" w:eastAsia="仿宋_GB2312" w:cs="Times New Roman"/>
          <w:sz w:val="32"/>
          <w:szCs w:val="32"/>
        </w:rPr>
        <w:t>加快发展智慧农业，借助“互联网+农业”技术，实时监测水质、温度、湿度等环境参数，逐步实现墒情自动预报、自动控制灌溉、无人机农药喷洒等。建设物联网智能设施大棚、综合管理平台、智慧营销系统、智慧物流系统等平台，打造智能、精准、高效、绿色智慧农业体系。</w:t>
      </w:r>
      <w:bookmarkStart w:id="52" w:name="_Toc17027"/>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全面提升农产品质量安全水平</w:t>
      </w:r>
      <w:bookmarkEnd w:id="52"/>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加快完善农产品质量安全标准、检测、认证与监管和执法体系。</w:t>
      </w:r>
      <w:r>
        <w:rPr>
          <w:rFonts w:hint="default" w:ascii="Times New Roman" w:hAnsi="Times New Roman" w:eastAsia="仿宋_GB2312" w:cs="Times New Roman"/>
          <w:sz w:val="32"/>
          <w:szCs w:val="32"/>
        </w:rPr>
        <w:t>落实国家质量兴农战略规划，坚持“产、管”并重，提高监管能力。落实政府属地责任、部门监管责任和生产经营主体责任，加快建立农产品质量分级及产地准出、市场准入制度。加强部门协作，创新农产品质量安全监管机制，整合检测资源，实行农产品产地准出、质量追溯、退出召回等制度，突出源头监管，建立健全从农田到餐桌，全程质量安全风险评估、监测预警和紧急处置机制。</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加强农产品监测中心建设。</w:t>
      </w:r>
      <w:r>
        <w:rPr>
          <w:rFonts w:hint="default" w:ascii="Times New Roman" w:hAnsi="Times New Roman" w:eastAsia="仿宋_GB2312" w:cs="Times New Roman"/>
          <w:sz w:val="32"/>
          <w:szCs w:val="32"/>
        </w:rPr>
        <w:t>着力打造集指导、培训、研发于一体，公平、公正、一流的公共服务平台。建设完善动植物预防控制体系，加强动植物防疫检疫管理，完善动物检疫智能化管理系统。推进农产品生产质量标准体系建设，制定质量追溯管理制度规范，构建以企业为主体的质量控制体系，建立覆盖全农产品质量追溯公共信息平台，促进各类追溯平台互联互通和监管信息共享。完善农兽药残留限量标准体系，推进农产品生产投入品使用规范化。</w:t>
      </w:r>
      <w:bookmarkStart w:id="53" w:name="_Toc17958"/>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大力发展设施农业</w:t>
      </w:r>
      <w:bookmarkEnd w:id="53"/>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支持规模化设施农业园区建设。</w:t>
      </w:r>
      <w:r>
        <w:rPr>
          <w:rFonts w:hint="default" w:ascii="Times New Roman" w:hAnsi="Times New Roman" w:eastAsia="仿宋_GB2312" w:cs="Times New Roman"/>
          <w:sz w:val="32"/>
          <w:szCs w:val="32"/>
        </w:rPr>
        <w:t>在充分发挥设施农业调淡旺、补短缺、保应急作用的同时，积极拓展园区休闲观光旅游功能。鼓励蔬菜集中产区、规模化园区积极应用新技术、新材料、新工艺，建设高效节能节地连栋智能温室，提高设施农业的标准化、规模化水平。坚持因地制宜、土洋结合、大中小统筹推进，食用菌推广吊袋棚室，环城近郊地区推广高标准高效节能日光温室。保障设施农业用地需求。结合村庄建设规划，做好道路、仓储物流等硬件建设，</w:t>
      </w:r>
      <w:r>
        <w:rPr>
          <w:rFonts w:hint="default" w:ascii="Times New Roman" w:hAnsi="Times New Roman" w:eastAsia="仿宋_GB2312" w:cs="Times New Roman"/>
          <w:sz w:val="32"/>
          <w:szCs w:val="32"/>
          <w:lang w:eastAsia="zh-CN"/>
        </w:rPr>
        <w:t>推动</w:t>
      </w:r>
      <w:r>
        <w:rPr>
          <w:rFonts w:hint="default" w:ascii="Times New Roman" w:hAnsi="Times New Roman" w:eastAsia="仿宋_GB2312" w:cs="Times New Roman"/>
          <w:sz w:val="32"/>
          <w:szCs w:val="32"/>
        </w:rPr>
        <w:t>抗旱打井、节水灌溉等项目向设施农业倾斜。</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54" w:lineRule="exact"/>
        <w:ind w:left="0"/>
        <w:textAlignment w:val="auto"/>
        <w:rPr>
          <w:rFonts w:hint="eastAsia" w:ascii="方正小标宋简体" w:hAnsi="方正小标宋简体" w:eastAsia="方正小标宋简体" w:cs="方正小标宋简体"/>
          <w:b w:val="0"/>
          <w:bCs w:val="0"/>
          <w:sz w:val="32"/>
          <w:szCs w:val="32"/>
        </w:rPr>
      </w:pPr>
      <w:bookmarkStart w:id="54" w:name="_Toc27033"/>
      <w:bookmarkStart w:id="55" w:name="_Toc55314881"/>
      <w:r>
        <w:rPr>
          <w:rFonts w:hint="eastAsia" w:ascii="方正小标宋简体" w:hAnsi="方正小标宋简体" w:eastAsia="方正小标宋简体" w:cs="方正小标宋简体"/>
          <w:b w:val="0"/>
          <w:bCs w:val="0"/>
          <w:sz w:val="32"/>
          <w:szCs w:val="32"/>
        </w:rPr>
        <w:t>优化升级现代农业产业体系</w:t>
      </w:r>
      <w:bookmarkEnd w:id="54"/>
      <w:bookmarkEnd w:id="55"/>
    </w:p>
    <w:p>
      <w:pPr>
        <w:pStyle w:val="6"/>
        <w:pageBreakBefore w:val="0"/>
        <w:widowControl w:val="0"/>
        <w:numPr>
          <w:ilvl w:val="0"/>
          <w:numId w:val="0"/>
        </w:numPr>
        <w:kinsoku/>
        <w:wordWrap/>
        <w:overflowPunct/>
        <w:topLinePunct w:val="0"/>
        <w:autoSpaceDE/>
        <w:autoSpaceDN/>
        <w:bidi w:val="0"/>
        <w:adjustRightInd/>
        <w:snapToGrid/>
        <w:spacing w:before="0" w:after="0" w:line="554" w:lineRule="exact"/>
        <w:textAlignment w:val="auto"/>
        <w:rPr>
          <w:rFonts w:hint="eastAsia" w:ascii="Times New Roman" w:hAnsi="Times New Roman" w:eastAsia="仿宋_GB2312" w:cs="Times New Roman"/>
          <w:sz w:val="32"/>
          <w:szCs w:val="32"/>
          <w:lang w:eastAsia="zh-CN"/>
        </w:rPr>
      </w:pPr>
      <w:bookmarkStart w:id="56" w:name="_Toc5616"/>
    </w:p>
    <w:p>
      <w:pPr>
        <w:pStyle w:val="6"/>
        <w:pageBreakBefore w:val="0"/>
        <w:widowControl w:val="0"/>
        <w:numPr>
          <w:ilvl w:val="0"/>
          <w:numId w:val="0"/>
        </w:numPr>
        <w:kinsoku/>
        <w:wordWrap/>
        <w:overflowPunct/>
        <w:topLinePunct w:val="0"/>
        <w:autoSpaceDE/>
        <w:autoSpaceDN/>
        <w:bidi w:val="0"/>
        <w:adjustRightInd/>
        <w:snapToGrid/>
        <w:spacing w:before="0" w:after="0" w:line="554"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加快粮食产业现代化</w:t>
      </w:r>
      <w:bookmarkEnd w:id="56"/>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促进粮食种植结构调整优化。</w:t>
      </w:r>
      <w:r>
        <w:rPr>
          <w:rFonts w:hint="default" w:ascii="Times New Roman" w:hAnsi="Times New Roman" w:eastAsia="仿宋_GB2312" w:cs="Times New Roman"/>
          <w:sz w:val="32"/>
          <w:szCs w:val="32"/>
        </w:rPr>
        <w:t>实施藏粮于地、藏粮于技战略，以强化粮食产能为前提，以调优、调特、调高、调深玉米结构为核心，加快推进粮食产业现代化。按照优质、高效、生态、安全的要求，重点发展设施农业、高效农业、生态农业、观光农业等都市精品农业。在全省粮食生产功能区划定工作基础上，结合永久基本农田划定，积极细化落实全市粮食生产功能区的划定与建设。以天岗镇、庆岭镇、松江镇、漂河镇等5个镇为重点建设优质玉米生产和玉米作物轮作核心功能区；以天北镇、新站镇、乌林乡、拉法街、新农街等6个乡镇街为重点，建设优质水稻生产核心功能区。</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大力推进现代农业发展。</w:t>
      </w:r>
      <w:r>
        <w:rPr>
          <w:rFonts w:hint="default" w:ascii="Times New Roman" w:hAnsi="Times New Roman" w:eastAsia="仿宋_GB2312" w:cs="Times New Roman"/>
          <w:sz w:val="32"/>
          <w:szCs w:val="32"/>
        </w:rPr>
        <w:t>推广机械深松、秸秆还田等保护性耕作技术，引进推广新品种、新技术、新成果。完成保护性耕作4万亩，测土配方施肥面积60万亩，化肥农药使用量按照0.5%逐年递减，农膜回收利用率达到80%以上。落实好国家农机补贴政策，培育农机大户和农机合作社，推进农业机械化，力争实现耕种收全程机械化。引导和扶持种养业专业大户向农民专业合作社和家庭农场方向发展，鼓励相关联的专业合作社成立联合社。稳步推进种植业结构调整，调减籽粒玉米种植面积，调增甜粘玉米、大豆等种植面积。</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鼓励发展甜粘玉米产业。</w:t>
      </w:r>
      <w:r>
        <w:rPr>
          <w:rFonts w:hint="default" w:ascii="Times New Roman" w:hAnsi="Times New Roman" w:eastAsia="仿宋_GB2312" w:cs="Times New Roman"/>
          <w:sz w:val="32"/>
          <w:szCs w:val="32"/>
        </w:rPr>
        <w:t>大力发展规模化、标准化、绿色化、集约化的种植基地建设，积极申报省级绿色循环优质高效特色农业促进项目，依托粘玉米加工企业，签订购销合同，统一生产标准，推广农业产业化联合体生产经营模式，创新利益联结机制，形成稳定市场供销体制。到2025年，全市甜粘玉米计划发展到</w:t>
      </w:r>
      <w:r>
        <w:rPr>
          <w:rStyle w:val="56"/>
          <w:rFonts w:hint="default" w:ascii="Times New Roman" w:hAnsi="Times New Roman" w:eastAsia="仿宋_GB2312" w:cs="Times New Roman"/>
          <w:sz w:val="32"/>
          <w:szCs w:val="32"/>
        </w:rPr>
        <w:t>1</w:t>
      </w:r>
      <w:r>
        <w:rPr>
          <w:rStyle w:val="56"/>
          <w:rFonts w:hint="default" w:ascii="Times New Roman" w:hAnsi="Times New Roman" w:eastAsia="仿宋_GB2312" w:cs="Times New Roman"/>
          <w:sz w:val="32"/>
          <w:szCs w:val="32"/>
          <w:lang w:eastAsia="zh-CN"/>
        </w:rPr>
        <w:t>万</w:t>
      </w:r>
      <w:r>
        <w:rPr>
          <w:rStyle w:val="56"/>
          <w:rFonts w:hint="default" w:ascii="Times New Roman" w:hAnsi="Times New Roman" w:eastAsia="仿宋_GB2312" w:cs="Times New Roman"/>
          <w:sz w:val="32"/>
          <w:szCs w:val="32"/>
        </w:rPr>
        <w:t>公顷。</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开展“中国好粮油”行动。</w:t>
      </w:r>
      <w:r>
        <w:rPr>
          <w:rFonts w:hint="default" w:ascii="Times New Roman" w:hAnsi="Times New Roman" w:eastAsia="仿宋_GB2312" w:cs="Times New Roman"/>
          <w:sz w:val="32"/>
          <w:szCs w:val="32"/>
        </w:rPr>
        <w:t>建立优质粮油技术评价体系、质量标准</w:t>
      </w:r>
      <w:r>
        <w:rPr>
          <w:rFonts w:hint="default" w:ascii="Times New Roman" w:hAnsi="Times New Roman" w:eastAsia="仿宋_GB2312" w:cs="Times New Roman"/>
          <w:sz w:val="32"/>
          <w:szCs w:val="32"/>
          <w:lang w:eastAsia="zh-CN"/>
        </w:rPr>
        <w:t>体系</w:t>
      </w:r>
      <w:r>
        <w:rPr>
          <w:rFonts w:hint="default" w:ascii="Times New Roman" w:hAnsi="Times New Roman" w:eastAsia="仿宋_GB2312" w:cs="Times New Roman"/>
          <w:sz w:val="32"/>
          <w:szCs w:val="32"/>
        </w:rPr>
        <w:t>，健全成品粮油应急保障体系，继续开展“三品一标”申报认证，努力争取成为“中国好粮油”示范县，发展1-2户“中国好粮油”示范企业，水稻加工率达到90%以上，优质大米供给量提高20%左右。到2025年，全市粮食总产量稳定在85万吨</w:t>
      </w:r>
      <w:r>
        <w:rPr>
          <w:rFonts w:hint="default" w:ascii="Times New Roman" w:hAnsi="Times New Roman" w:eastAsia="仿宋_GB2312" w:cs="Times New Roman"/>
          <w:sz w:val="32"/>
          <w:szCs w:val="32"/>
          <w:lang w:eastAsia="zh-CN"/>
        </w:rPr>
        <w:t>阶段性水平</w:t>
      </w:r>
      <w:r>
        <w:rPr>
          <w:rFonts w:hint="default" w:ascii="Times New Roman" w:hAnsi="Times New Roman" w:eastAsia="仿宋_GB2312" w:cs="Times New Roman"/>
          <w:sz w:val="32"/>
          <w:szCs w:val="32"/>
        </w:rPr>
        <w:t>。</w:t>
      </w:r>
      <w:bookmarkStart w:id="57" w:name="_Toc23277"/>
    </w:p>
    <w:p>
      <w:pPr>
        <w:pageBreakBefore w:val="0"/>
        <w:widowControl w:val="0"/>
        <w:kinsoku/>
        <w:wordWrap/>
        <w:overflowPunct/>
        <w:topLinePunct w:val="0"/>
        <w:autoSpaceDE/>
        <w:autoSpaceDN/>
        <w:bidi w:val="0"/>
        <w:adjustRightInd/>
        <w:snapToGrid/>
        <w:spacing w:line="554"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推进畜牧产业提档升级</w:t>
      </w:r>
      <w:bookmarkEnd w:id="57"/>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推进农牧结合种养循环发展。</w:t>
      </w:r>
      <w:r>
        <w:rPr>
          <w:rFonts w:hint="default" w:ascii="Times New Roman" w:hAnsi="Times New Roman" w:eastAsia="仿宋_GB2312" w:cs="Times New Roman"/>
          <w:sz w:val="32"/>
          <w:szCs w:val="32"/>
        </w:rPr>
        <w:t>立足蛟河畜牧业发展现状和资源优势，稳步提升畜牧养殖影响力，推进全市由全省的畜产品生产供应基地向畜牧业全产业链示范基地转变。在重点打造天北现代畜牧业示范区的基础上，优化全市畜牧养殖布局，大力发展畜禽标准化规模养殖，深入推广“小规模、大群体，整村推进、分户饲养”肉牛产业发展模式，实施“秸秆变肉”工程，推动散养向规模、规模向标准、标准向示范转变，提高规模养殖效益。</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抓好优质安全养殖基地建设。</w:t>
      </w:r>
      <w:r>
        <w:rPr>
          <w:rFonts w:hint="default" w:ascii="Times New Roman" w:hAnsi="Times New Roman" w:eastAsia="仿宋_GB2312" w:cs="Times New Roman"/>
          <w:sz w:val="32"/>
          <w:szCs w:val="32"/>
        </w:rPr>
        <w:t>按照“畜禽良种化、养殖设施化、生产规范化、防疫制度化、粪污无害化”五化要求，加大标准化规模养殖场（小区）建设力度，以标准化小区建设为核心，迅速壮大基地整体规模。到2025年，全市可用于养殖的牧业用地达到2万亩；发挥天北现代畜牧业示范区示范引导作用，推进生猪、肉牛、肉鸡产业发展，畜禽规模养殖比重达到65%。</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着力建设畜禽良种繁育体系。</w:t>
      </w:r>
      <w:r>
        <w:rPr>
          <w:rStyle w:val="56"/>
          <w:rFonts w:hint="default" w:ascii="Times New Roman" w:hAnsi="Times New Roman" w:eastAsia="仿宋_GB2312" w:cs="Times New Roman"/>
          <w:sz w:val="32"/>
          <w:szCs w:val="32"/>
        </w:rPr>
        <w:t>完善高档肉牛品牌体系建设，加快长白山黑牛新品系的选育。推进种猪繁育场建设，鼓励建设父母代种猪扩繁场3个。加强市、乡、村三级改良繁育体系建设，建设村级黄牛改良点70个。到2025年，全市生猪、肉牛、鹿和家禽良种率分别达到90%、85%、75%和100%以上。</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做好畜禽养殖废弃物资源化利用。</w:t>
      </w:r>
      <w:r>
        <w:rPr>
          <w:rStyle w:val="56"/>
          <w:rFonts w:hint="default" w:ascii="Times New Roman" w:hAnsi="Times New Roman" w:eastAsia="仿宋_GB2312" w:cs="Times New Roman"/>
          <w:sz w:val="32"/>
          <w:szCs w:val="32"/>
        </w:rPr>
        <w:t>坚持畜牧产业与环境协调发展，加强畜禽粪便综合开发利用，落实整市推进畜禽粪污资源化利用项目，重点支持规模养殖场粪污处理设施设备升级改造、村屯畜禽粪污集中收储点、区域性粪污处理中心、种养结合示范区建设；强化病死畜禽无害化处理监管，防止病死畜禽疫病传播。到2025年，全市畜禽粪污综合利用率达到90%以上，规模养殖场畜禽粪污处理设施装备配套率达到100%。</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加强动物防疫监督体系建设。</w:t>
      </w:r>
      <w:r>
        <w:rPr>
          <w:rStyle w:val="56"/>
          <w:rFonts w:hint="default" w:ascii="Times New Roman" w:hAnsi="Times New Roman" w:eastAsia="仿宋_GB2312" w:cs="Times New Roman"/>
          <w:sz w:val="32"/>
          <w:szCs w:val="32"/>
        </w:rPr>
        <w:t>健全完善动物免疫、疫情监测预警、动物卫生监督和应急管理四大体系，不断增强综合防控能力，确保全市免疫无口蹄疫区有效运行。鼓励畜禽出口企业、重点龙头养殖企业建设无疫小区。</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加快畜牧业全产业链建设。</w:t>
      </w:r>
      <w:r>
        <w:rPr>
          <w:rFonts w:hint="default" w:ascii="Times New Roman" w:hAnsi="Times New Roman" w:eastAsia="仿宋_GB2312" w:cs="Times New Roman"/>
          <w:sz w:val="32"/>
          <w:szCs w:val="32"/>
        </w:rPr>
        <w:t>重点发展生猪、肉牛2条产业链，依托吉林得利斯公司建成以长白山生态猪为主体</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生猪全产业链；依托吉林黑毛牛实业集团建成以长白山黑牛等优质肉牛为主体的肉牛全产业链，同时提高长白山生态猪肉、天一黑牛肉等特色品牌知名度。大力发展新主体、新产业、新业态，推动畜禽养殖、屠宰加工、兽药饲料和营销服务等相关产业集群发展，实现现代畜牧业转型升级。到2025年，全市黄牛发展到1</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万头、生猪35万头、家禽类</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50万只、梅花鹿1.3万头。</w:t>
      </w:r>
      <w:bookmarkStart w:id="58" w:name="_Toc14844"/>
    </w:p>
    <w:p>
      <w:pPr>
        <w:pageBreakBefore w:val="0"/>
        <w:widowControl w:val="0"/>
        <w:kinsoku/>
        <w:wordWrap/>
        <w:overflowPunct/>
        <w:topLinePunct w:val="0"/>
        <w:autoSpaceDE/>
        <w:autoSpaceDN/>
        <w:bidi w:val="0"/>
        <w:adjustRightInd/>
        <w:snapToGrid/>
        <w:spacing w:line="554"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发展壮大园艺特产业</w:t>
      </w:r>
      <w:bookmarkEnd w:id="58"/>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食用菌产业。</w:t>
      </w:r>
      <w:r>
        <w:rPr>
          <w:rFonts w:hint="default" w:ascii="Times New Roman" w:hAnsi="Times New Roman" w:eastAsia="仿宋_GB2312" w:cs="Times New Roman"/>
          <w:sz w:val="32"/>
          <w:szCs w:val="32"/>
          <w:lang w:eastAsia="zh-CN"/>
        </w:rPr>
        <w:t>创建</w:t>
      </w:r>
      <w:r>
        <w:rPr>
          <w:rFonts w:hint="default" w:ascii="Times New Roman" w:hAnsi="Times New Roman" w:eastAsia="仿宋_GB2312" w:cs="Times New Roman"/>
          <w:sz w:val="32"/>
          <w:szCs w:val="32"/>
        </w:rPr>
        <w:t>黄松甸食用菌特色小镇</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eastAsia="zh-CN"/>
        </w:rPr>
        <w:t>稳定现有</w:t>
      </w:r>
      <w:r>
        <w:rPr>
          <w:rFonts w:hint="default" w:ascii="Times New Roman" w:hAnsi="Times New Roman" w:eastAsia="仿宋_GB2312" w:cs="Times New Roman"/>
          <w:sz w:val="32"/>
          <w:szCs w:val="32"/>
        </w:rPr>
        <w:t>规模的基础上，，不断提升食用菌产品品质和市场占有率，提高黑木耳、灵芝的标准化生产水平，</w:t>
      </w:r>
      <w:r>
        <w:rPr>
          <w:rFonts w:hint="default" w:ascii="Times New Roman" w:hAnsi="Times New Roman" w:eastAsia="仿宋_GB2312" w:cs="Times New Roman"/>
          <w:sz w:val="32"/>
          <w:szCs w:val="32"/>
          <w:lang w:eastAsia="zh-CN"/>
        </w:rPr>
        <w:t>走品牌和质量效应，</w:t>
      </w:r>
      <w:r>
        <w:rPr>
          <w:rFonts w:hint="default" w:ascii="Times New Roman" w:hAnsi="Times New Roman" w:eastAsia="仿宋_GB2312" w:cs="Times New Roman"/>
          <w:sz w:val="32"/>
          <w:szCs w:val="32"/>
          <w:lang w:val="en-US" w:eastAsia="zh-CN"/>
        </w:rPr>
        <w:t>依托高度院校实现品牌、技术提升，</w:t>
      </w:r>
      <w:r>
        <w:rPr>
          <w:rFonts w:hint="default" w:ascii="Times New Roman" w:hAnsi="Times New Roman" w:eastAsia="仿宋_GB2312" w:cs="Times New Roman"/>
          <w:sz w:val="32"/>
          <w:szCs w:val="32"/>
        </w:rPr>
        <w:t>充分利用农业农村部定点市场优势，打造东北最大食用菌集散地。到2025年，全市黑木耳</w:t>
      </w:r>
      <w:r>
        <w:rPr>
          <w:rFonts w:hint="default" w:ascii="Times New Roman" w:hAnsi="Times New Roman" w:eastAsia="仿宋_GB2312" w:cs="Times New Roman"/>
          <w:sz w:val="32"/>
          <w:szCs w:val="32"/>
          <w:lang w:eastAsia="zh-CN"/>
        </w:rPr>
        <w:t>稳定在</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亿袋，灵芝计划发展到180万段。</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晒烟产业。</w:t>
      </w:r>
      <w:r>
        <w:rPr>
          <w:rFonts w:hint="default" w:ascii="Times New Roman" w:hAnsi="Times New Roman" w:eastAsia="仿宋_GB2312" w:cs="Times New Roman"/>
          <w:sz w:val="32"/>
          <w:szCs w:val="32"/>
        </w:rPr>
        <w:t>把蛟河晒烟产业做大做强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打造“正宗关东烟”品牌，争创全国晒烟第一大县。到2025年，全市晒烟种植面积发展到2500公顷。</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瓜果产业。</w:t>
      </w:r>
      <w:r>
        <w:rPr>
          <w:rFonts w:hint="default" w:ascii="Times New Roman" w:hAnsi="Times New Roman" w:eastAsia="仿宋_GB2312" w:cs="Times New Roman"/>
          <w:sz w:val="32"/>
          <w:szCs w:val="32"/>
        </w:rPr>
        <w:t>充分发挥白石山镇“蛟河市农产品种植加工基地”的辐射带动作用，依托休闲农业和乡村旅游、订单农业、品牌创建，大力发展“三瓜”、洋菇娘、蓝莓、草莓、葡萄、苹果等瓜果产业。到2025年，全市“三瓜”发展到2500公顷，洋菇娘发展到1000公顷，蓝莓发展到1000公顷，草莓发展到400公顷，葡萄、苹果等发展到3500公顷。</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蔬菜产业。</w:t>
      </w:r>
      <w:r>
        <w:rPr>
          <w:rFonts w:hint="default" w:ascii="Times New Roman" w:hAnsi="Times New Roman" w:eastAsia="仿宋_GB2312" w:cs="Times New Roman"/>
          <w:sz w:val="32"/>
          <w:szCs w:val="32"/>
        </w:rPr>
        <w:t>以城市周边乡镇街为重点，建设一批蔬菜标准化生产示范基地，推进蔬菜产供销一体化，实现蔬菜生产布局合理、品种丰富、供应均衡、质量安全水平显著提高的目标。以偏远山区乡镇为重点，培育种植刺嫩芽、刺五加、薇菜、广东菜等山野菜，在前进乡发展山野菜产业；在新站镇发展韭菜产业等，积极探索北菜南销种植销售模式。</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中药材产业。</w:t>
      </w:r>
      <w:r>
        <w:rPr>
          <w:rFonts w:hint="default" w:ascii="Times New Roman" w:hAnsi="Times New Roman" w:eastAsia="仿宋_GB2312" w:cs="Times New Roman"/>
          <w:sz w:val="32"/>
          <w:szCs w:val="32"/>
        </w:rPr>
        <w:t>充分发挥长白山特色中药材区位优势，按照中药材生产质量管理规范要求，大力发展人参、五味子、天麻、平贝母等道地中药材产业，对其进行标准化种植，积极开展新品种引进和野生品种驯化、新品种示范、标准化种植试验、中药材品种选育、中药材标本制作等研发，加强中药材人工驯养、人工栽培技术研发和推广应用。到 2025 年，全市中药材发展到 2500 公顷。</w:t>
      </w:r>
    </w:p>
    <w:p>
      <w:pPr>
        <w:pageBreakBefore w:val="0"/>
        <w:widowControl w:val="0"/>
        <w:kinsoku/>
        <w:wordWrap/>
        <w:overflowPunct/>
        <w:topLinePunct w:val="0"/>
        <w:autoSpaceDE/>
        <w:autoSpaceDN/>
        <w:bidi w:val="0"/>
        <w:adjustRightInd/>
        <w:snapToGrid/>
        <w:spacing w:line="554"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淡水渔业。</w:t>
      </w:r>
      <w:r>
        <w:rPr>
          <w:rFonts w:hint="default" w:ascii="Times New Roman" w:hAnsi="Times New Roman" w:eastAsia="仿宋_GB2312" w:cs="Times New Roman"/>
          <w:sz w:val="32"/>
          <w:szCs w:val="32"/>
        </w:rPr>
        <w:t>充分利用蛟河淡水资源，重点发展生态渔业、低碳渔业、精品渔业，全面实现渔业功能转型和体系升级。着力优化养殖结构，改善养殖条件，转变养殖方式，示范推广稻田养鱼、养蟹和冷水鱼养殖渔业技术，不断拓展渔业新功能，发展休闲渔业，提升产业价值。到2025年，全市水产品产量稳定在7400吨水平。</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柞蚕产业。</w:t>
      </w:r>
      <w:r>
        <w:rPr>
          <w:rFonts w:hint="default" w:ascii="Times New Roman" w:hAnsi="Times New Roman" w:eastAsia="仿宋_GB2312" w:cs="Times New Roman"/>
          <w:sz w:val="32"/>
          <w:szCs w:val="32"/>
        </w:rPr>
        <w:t>按照林业部门有关政策，稳定现有蚕场规模，依靠科技创新，从“引进优良蚕种、推广优质高效柞蚕放养技术”着手，大幅度提高柞蚕的单产水平和质量。到2025年，全市柞蚕单产水平比2020年提高25%。</w:t>
      </w:r>
      <w:bookmarkStart w:id="59" w:name="_Toc13611"/>
    </w:p>
    <w:p>
      <w:pPr>
        <w:pageBreakBefore w:val="0"/>
        <w:widowControl w:val="0"/>
        <w:kinsoku/>
        <w:wordWrap/>
        <w:overflowPunct/>
        <w:topLinePunct w:val="0"/>
        <w:autoSpaceDE/>
        <w:autoSpaceDN/>
        <w:bidi w:val="0"/>
        <w:adjustRightInd/>
        <w:snapToGrid/>
        <w:spacing w:line="554"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大力发展农产品加工业</w:t>
      </w:r>
      <w:bookmarkEnd w:id="59"/>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加快发展农产品初加工。</w:t>
      </w:r>
      <w:r>
        <w:rPr>
          <w:rFonts w:hint="default" w:ascii="Times New Roman" w:hAnsi="Times New Roman" w:eastAsia="仿宋_GB2312" w:cs="Times New Roman"/>
          <w:sz w:val="32"/>
          <w:szCs w:val="32"/>
        </w:rPr>
        <w:t>支持农产品就地转化增值，着力构建粮食、畜产品、园艺特产品三大精深加工板块，重点推进以黑木耳、灵芝、人参、长白山林特产品、甜粘玉米、长白山黑牛和生态猪等为重点的生鲜、农产品商品化处理。提升精深加工能力和水平，实现长白山特色产品加工业向集约化、高端化和高附加值方向发展。依托“龙头企业+新型经营主体+基地+农户”模式，重点抓好农业产业化龙头企业大项目建设，加快培育壮大龙头企业群体，支持组建大型农产品加工企业集团，打造超强优势产业</w:t>
      </w:r>
      <w:r>
        <w:rPr>
          <w:rStyle w:val="56"/>
          <w:rFonts w:hint="default" w:ascii="Times New Roman" w:hAnsi="Times New Roman" w:eastAsia="仿宋_GB2312" w:cs="Times New Roman"/>
          <w:sz w:val="32"/>
          <w:szCs w:val="32"/>
        </w:rPr>
        <w:t>集群。到2025年，</w:t>
      </w:r>
      <w:r>
        <w:rPr>
          <w:rFonts w:hint="default" w:ascii="Times New Roman" w:hAnsi="Times New Roman" w:eastAsia="仿宋_GB2312" w:cs="Times New Roman"/>
          <w:sz w:val="32"/>
          <w:szCs w:val="32"/>
        </w:rPr>
        <w:t>引进建设深加工企业5户。</w:t>
      </w:r>
      <w:bookmarkStart w:id="60" w:name="_Toc21299"/>
    </w:p>
    <w:p>
      <w:pPr>
        <w:pageBreakBefore w:val="0"/>
        <w:widowControl w:val="0"/>
        <w:kinsoku/>
        <w:wordWrap/>
        <w:overflowPunct/>
        <w:topLinePunct w:val="0"/>
        <w:autoSpaceDE/>
        <w:autoSpaceDN/>
        <w:bidi w:val="0"/>
        <w:adjustRightInd/>
        <w:snapToGrid/>
        <w:spacing w:line="554"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大力发展农产品流通业</w:t>
      </w:r>
      <w:bookmarkEnd w:id="60"/>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加快完善农产品流通体系。</w:t>
      </w:r>
      <w:r>
        <w:rPr>
          <w:rFonts w:hint="default" w:ascii="Times New Roman" w:hAnsi="Times New Roman" w:eastAsia="仿宋_GB2312" w:cs="Times New Roman"/>
          <w:sz w:val="32"/>
          <w:szCs w:val="32"/>
        </w:rPr>
        <w:t>创新流通方式，建立起营销形式多样、产业联结紧密、经营业态多元、品牌知名度高的农产品流通新格局。完善“农批对接”“农超对接”“直供直销”等产销模式。推动专业市场集群发展，完善冷链式物流基础设施，建设一批田头地边恒温储运和分级处理设施。</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加快农村电子商务示范基地建设。</w:t>
      </w:r>
      <w:r>
        <w:rPr>
          <w:rFonts w:hint="default" w:ascii="Times New Roman" w:hAnsi="Times New Roman" w:eastAsia="仿宋_GB2312" w:cs="Times New Roman"/>
          <w:sz w:val="32"/>
          <w:szCs w:val="32"/>
        </w:rPr>
        <w:t>扶持有条件的主要农产品专业市场发展网上交易，鼓励互联网企业建立产销衔接的农业服务平台，推动电子商务与新型农业经营主体、农产品加工流通企业合作，培育农村电子商务供应链。实施电子商务进农村的综合示范工程和“快递下乡”工程，加快构建覆盖市乡村的电子商务体系。依托青创空间，加强与长春光华学院等高校合作，开展各类电商培训活动。继续举办网上黑木耳节、蓝莓节，提升农产品和旅游产品知名度。到2025年，在具备条件的行政村全部建成村级电子商务服务站点，全年电商交易额实现7亿元。</w:t>
      </w:r>
      <w:bookmarkStart w:id="61" w:name="_Toc78"/>
    </w:p>
    <w:p>
      <w:pPr>
        <w:pageBreakBefore w:val="0"/>
        <w:widowControl w:val="0"/>
        <w:kinsoku/>
        <w:wordWrap/>
        <w:overflowPunct/>
        <w:topLinePunct w:val="0"/>
        <w:autoSpaceDE/>
        <w:autoSpaceDN/>
        <w:bidi w:val="0"/>
        <w:adjustRightInd/>
        <w:snapToGrid/>
        <w:spacing w:line="554"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大力发展休闲农业与乡村旅游</w:t>
      </w:r>
      <w:bookmarkEnd w:id="61"/>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推进全市农业与旅游业深度融合。</w:t>
      </w:r>
      <w:r>
        <w:rPr>
          <w:rFonts w:hint="default" w:ascii="Times New Roman" w:hAnsi="Times New Roman" w:eastAsia="仿宋_GB2312" w:cs="Times New Roman"/>
          <w:sz w:val="32"/>
          <w:szCs w:val="32"/>
        </w:rPr>
        <w:t>进一步发挥蛟河国家级休闲农业和乡村旅游示范县的品牌效应，依托地域特色、民族文化、乡土风情，深入发掘农业农村的生态涵养、休闲观光、文化体验、健康养老、冰雪休闲等功能，形成蛟河特色显著的农业旅游产品体系。打造休闲农业和乡村旅游集聚村，重点开发建设金斗美丽乡村、双庙子、北国之村、祥颐田园综合体、富江花海、庆岭冰酒小镇、黄松甸休闲农业观光园区、庆岭鱼街等乡村旅游项目，形成休闲农业和乡村旅游示范区；以富江、西荒地、苏尔哈、插树岭、金兰湾等湖畔村落为重点，开发雪庄民宿区、冰雪娱乐区、影视摄影拍摄基地、冰雪丝路，打造冰雪驿站，建成具有蛟河特色的湖畔雪村民俗冰雪旅游区；建设西土山、前进民主南山滑雪场，拉法山和金斗宫温泉养生旅游区，前进辽金古城雪国冰雪文化旅游区，打造蛟河冬季旅游品牌；推动特色文化产业发展，建立特色文化产业示范园和基地，整合少数民族餐饮、民俗资源，培育珠编、草编、浪木等特色旅游工艺品，打造手工煎饼、豆制品、黏豆包等特色旅游食品。定期举办“金秋红叶节”、“蓝莓节”、“冬捕节”、“梨花节”、“富江花海丰收节”、“窝集口采摘节”等主题活动，</w:t>
      </w:r>
      <w:r>
        <w:rPr>
          <w:rFonts w:hint="default" w:ascii="Times New Roman" w:hAnsi="Times New Roman" w:eastAsia="仿宋_GB2312" w:cs="Times New Roman"/>
          <w:sz w:val="32"/>
          <w:szCs w:val="32"/>
          <w:lang w:eastAsia="zh-CN"/>
        </w:rPr>
        <w:t>提升</w:t>
      </w:r>
      <w:r>
        <w:rPr>
          <w:rFonts w:hint="default" w:ascii="Times New Roman" w:hAnsi="Times New Roman" w:eastAsia="仿宋_GB2312" w:cs="Times New Roman"/>
          <w:sz w:val="32"/>
          <w:szCs w:val="32"/>
        </w:rPr>
        <w:t>蛟河市旅游景点知名度。到2025年，在全市创建15个以上精品休闲农业示范村，100家以上示范农家乐，全市乡村旅游年平均接待人数50万人次，乡村旅游实现直接收入5000万元。</w:t>
      </w:r>
      <w:bookmarkStart w:id="62" w:name="_Toc408"/>
    </w:p>
    <w:p>
      <w:pPr>
        <w:pageBreakBefore w:val="0"/>
        <w:widowControl w:val="0"/>
        <w:kinsoku/>
        <w:wordWrap/>
        <w:overflowPunct/>
        <w:topLinePunct w:val="0"/>
        <w:autoSpaceDE/>
        <w:autoSpaceDN/>
        <w:bidi w:val="0"/>
        <w:adjustRightInd/>
        <w:snapToGrid/>
        <w:spacing w:line="554"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积极促进一二三产业融合发展</w:t>
      </w:r>
      <w:bookmarkEnd w:id="62"/>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深入推动农村一二三产融合发展</w:t>
      </w:r>
      <w:r>
        <w:rPr>
          <w:rFonts w:hint="default" w:ascii="Times New Roman" w:hAnsi="Times New Roman" w:eastAsia="仿宋_GB2312" w:cs="Times New Roman"/>
          <w:sz w:val="32"/>
          <w:szCs w:val="32"/>
        </w:rPr>
        <w:t>。坚持高标准高质量发展好</w:t>
      </w:r>
      <w:r>
        <w:rPr>
          <w:rFonts w:hint="default" w:ascii="Times New Roman" w:hAnsi="Times New Roman" w:eastAsia="仿宋_GB2312" w:cs="Times New Roman"/>
          <w:sz w:val="32"/>
          <w:szCs w:val="32"/>
          <w:lang w:eastAsia="zh-CN"/>
        </w:rPr>
        <w:t>第</w:t>
      </w:r>
      <w:r>
        <w:rPr>
          <w:rFonts w:hint="default" w:ascii="Times New Roman" w:hAnsi="Times New Roman" w:eastAsia="仿宋_GB2312" w:cs="Times New Roman"/>
          <w:sz w:val="32"/>
          <w:szCs w:val="32"/>
        </w:rPr>
        <w:t>一产业，坚持质量至上的原则，全面提高农产品有效供给能力，奠定二三产业发展的基础。着力拉长玉米、水稻、生猪、肉牛、食用菌、蔬菜、晒烟、中药材等十大农产品加工产业链条，提高产业增值能力和促进农民增收能力。创建农业产业化示范基地，完善配套服务体系，形成农产品集散中心、物流配送中心和展销中心，鼓励商业资本从事农业生产进行全产业链开发，实现一二三产业融合发展的目标。大力支持华兰德酒庄等有发展潜力的产业融合龙头企业，重点</w:t>
      </w:r>
      <w:r>
        <w:rPr>
          <w:rFonts w:hint="default" w:ascii="Times New Roman" w:hAnsi="Times New Roman" w:eastAsia="仿宋_GB2312" w:cs="Times New Roman"/>
          <w:sz w:val="32"/>
          <w:szCs w:val="32"/>
          <w:lang w:eastAsia="zh-CN"/>
        </w:rPr>
        <w:t>建设</w:t>
      </w:r>
      <w:r>
        <w:rPr>
          <w:rFonts w:hint="default" w:ascii="Times New Roman" w:hAnsi="Times New Roman" w:eastAsia="仿宋_GB2312" w:cs="Times New Roman"/>
          <w:sz w:val="32"/>
          <w:szCs w:val="32"/>
        </w:rPr>
        <w:t>庆岭冰酒小镇、天北畜牧业特色小镇、黄松甸镇农业产业强镇示范项目。促使蛟河市农业整体提质升级，把原料基地建设、农产品初加工、企业精深加工、冷链物流、电子商务销售平台、休闲农业与乡村旅游有机整合，形成前伸后延、上下游衔接的全产业链一二三产业融合模式。</w:t>
      </w:r>
    </w:p>
    <w:p>
      <w:pPr>
        <w:pStyle w:val="2"/>
        <w:pageBreakBefore w:val="0"/>
        <w:widowControl w:val="0"/>
        <w:kinsoku/>
        <w:wordWrap/>
        <w:overflowPunct/>
        <w:topLinePunct w:val="0"/>
        <w:autoSpaceDE/>
        <w:autoSpaceDN/>
        <w:bidi w:val="0"/>
        <w:adjustRightInd/>
        <w:snapToGrid/>
        <w:spacing w:line="554" w:lineRule="exact"/>
        <w:textAlignment w:val="auto"/>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54" w:lineRule="exact"/>
        <w:ind w:left="0"/>
        <w:textAlignment w:val="auto"/>
        <w:rPr>
          <w:rFonts w:hint="eastAsia" w:ascii="方正小标宋简体" w:hAnsi="方正小标宋简体" w:eastAsia="方正小标宋简体" w:cs="方正小标宋简体"/>
          <w:b w:val="0"/>
          <w:bCs w:val="0"/>
          <w:sz w:val="32"/>
          <w:szCs w:val="32"/>
        </w:rPr>
      </w:pPr>
      <w:bookmarkStart w:id="63" w:name="_Toc55314882"/>
      <w:bookmarkStart w:id="64" w:name="_Toc31832"/>
      <w:bookmarkStart w:id="65" w:name="_Toc7989"/>
      <w:bookmarkStart w:id="66" w:name="_Toc7211"/>
      <w:r>
        <w:rPr>
          <w:rFonts w:hint="eastAsia" w:ascii="方正小标宋简体" w:hAnsi="方正小标宋简体" w:eastAsia="方正小标宋简体" w:cs="方正小标宋简体"/>
          <w:b w:val="0"/>
          <w:bCs w:val="0"/>
          <w:sz w:val="32"/>
          <w:szCs w:val="32"/>
        </w:rPr>
        <w:t>创新建立现代农业经营体系</w:t>
      </w:r>
      <w:bookmarkEnd w:id="63"/>
      <w:bookmarkEnd w:id="64"/>
      <w:bookmarkEnd w:id="65"/>
      <w:bookmarkEnd w:id="66"/>
    </w:p>
    <w:p>
      <w:pPr>
        <w:pStyle w:val="6"/>
        <w:pageBreakBefore w:val="0"/>
        <w:widowControl w:val="0"/>
        <w:numPr>
          <w:ilvl w:val="0"/>
          <w:numId w:val="0"/>
        </w:numPr>
        <w:kinsoku/>
        <w:wordWrap/>
        <w:overflowPunct/>
        <w:topLinePunct w:val="0"/>
        <w:autoSpaceDE/>
        <w:autoSpaceDN/>
        <w:bidi w:val="0"/>
        <w:adjustRightInd/>
        <w:snapToGrid/>
        <w:spacing w:before="0" w:after="0" w:line="554" w:lineRule="exact"/>
        <w:textAlignment w:val="auto"/>
        <w:rPr>
          <w:rFonts w:hint="eastAsia" w:ascii="黑体" w:hAnsi="黑体" w:eastAsia="黑体" w:cs="黑体"/>
          <w:b w:val="0"/>
          <w:bCs w:val="0"/>
          <w:sz w:val="32"/>
          <w:szCs w:val="32"/>
          <w:lang w:eastAsia="zh-CN"/>
        </w:rPr>
      </w:pPr>
      <w:bookmarkStart w:id="67" w:name="_Toc9104"/>
    </w:p>
    <w:p>
      <w:pPr>
        <w:pStyle w:val="6"/>
        <w:pageBreakBefore w:val="0"/>
        <w:widowControl w:val="0"/>
        <w:numPr>
          <w:ilvl w:val="0"/>
          <w:numId w:val="0"/>
        </w:numPr>
        <w:kinsoku/>
        <w:wordWrap/>
        <w:overflowPunct/>
        <w:topLinePunct w:val="0"/>
        <w:autoSpaceDE/>
        <w:autoSpaceDN/>
        <w:bidi w:val="0"/>
        <w:adjustRightInd/>
        <w:snapToGrid/>
        <w:spacing w:before="0" w:after="0" w:line="554"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培育新型农业经营主体</w:t>
      </w:r>
      <w:bookmarkEnd w:id="67"/>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培育和规范发展各类新型农业经营主体。</w:t>
      </w:r>
      <w:r>
        <w:rPr>
          <w:rFonts w:hint="default" w:ascii="Times New Roman" w:hAnsi="Times New Roman" w:eastAsia="仿宋_GB2312" w:cs="Times New Roman"/>
          <w:sz w:val="32"/>
          <w:szCs w:val="32"/>
        </w:rPr>
        <w:t>强化农民合作社和家庭农场基础作用，加快完善培育支持新型农业经营主体的政策体系，鼓励和支持返乡农民工、大中专学生、退役军人创办新型经营主体。鼓励农民专业合作社从单一合作模式走向股份合作或建立股份合作公司，推动农民合作升级，固化农民之间、农民与合作组织之间的利益关系。</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探索创新多种农业商业模式。</w:t>
      </w:r>
      <w:r>
        <w:rPr>
          <w:rFonts w:hint="default" w:ascii="Times New Roman" w:hAnsi="Times New Roman" w:eastAsia="仿宋_GB2312" w:cs="Times New Roman"/>
          <w:sz w:val="32"/>
          <w:szCs w:val="32"/>
        </w:rPr>
        <w:t>探索家庭经营、集体经营、合作经营与企业经营深度合作新机制，坚持农村基本经营制度，以家庭承包经营为基础，在土地承包经营权有序流转的基础上，结合培育新型农业经营主体和发展农业适度规模经营，通过政策扶持、示范引导、完善服务，积极稳妥地加以推进。引导和鼓励家庭农场经营者通过实物计租货币结算、租金动态调整、土地经营权入股保底分红等利益分配方式，稳定土地流转关系，形成适度的土地经营规模。</w:t>
      </w:r>
      <w:bookmarkStart w:id="68" w:name="_Toc30105"/>
    </w:p>
    <w:p>
      <w:pPr>
        <w:pageBreakBefore w:val="0"/>
        <w:widowControl w:val="0"/>
        <w:kinsoku/>
        <w:wordWrap/>
        <w:overflowPunct/>
        <w:topLinePunct w:val="0"/>
        <w:autoSpaceDE/>
        <w:autoSpaceDN/>
        <w:bidi w:val="0"/>
        <w:adjustRightInd/>
        <w:snapToGrid/>
        <w:spacing w:line="554"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大力发展农业社会化服务体系</w:t>
      </w:r>
      <w:bookmarkEnd w:id="68"/>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探索建立农业生产性服务组织。</w:t>
      </w:r>
      <w:r>
        <w:rPr>
          <w:rFonts w:hint="default" w:ascii="Times New Roman" w:hAnsi="Times New Roman" w:eastAsia="仿宋_GB2312" w:cs="Times New Roman"/>
          <w:sz w:val="32"/>
          <w:szCs w:val="32"/>
        </w:rPr>
        <w:t>以乡镇为基础，鼓励支持各类新型农业经营主体发挥技术优势，面向农民开展订单式、保姆式等服务，打造综合性、规模化、可持续的为农服务体系，从农业生产产前、产中、产后全过程提供有力支撑。重点围绕种子、农资、农机、农作物病虫草害防治、动物疾病防疫、农作物收获等农业生产环节，培育农业社会化服务组织，进行农业生产有偿服务，提高效率、降低生产成本，增加效益。坚持服务模式创新，按照公益性与经营性相结合的原则，创新乡镇农技推广机构改革与建设，走出一条公益性与经营性相结合的服务之路。</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加强农业社会化服务体系建设。</w:t>
      </w:r>
      <w:r>
        <w:rPr>
          <w:rFonts w:hint="default" w:ascii="Times New Roman" w:hAnsi="Times New Roman" w:eastAsia="仿宋_GB2312" w:cs="Times New Roman"/>
          <w:sz w:val="32"/>
          <w:szCs w:val="32"/>
        </w:rPr>
        <w:t>强化农机维修网点、农机大户、农机合作社监管和服务。引导土地经营权向农民合作社、家庭农场等新型经营主体流转，推广土地托管、土地入股、代耕代收等服务模式，推进土地集中连片规模经营，推动蛟河市现代农业产业转型升级，实现农村资源的合理配置和土地经营效益的充分释放。到2025年，基本形成服务结构合理、专业水平较高、服务能力较强、服务行为规范、覆盖全产业链的农业生产性服务组织，进一步增强生产性服务业对现代农业的全产业链支撑作用。</w:t>
      </w:r>
    </w:p>
    <w:p>
      <w:pPr>
        <w:pStyle w:val="6"/>
        <w:pageBreakBefore w:val="0"/>
        <w:widowControl w:val="0"/>
        <w:numPr>
          <w:ilvl w:val="0"/>
          <w:numId w:val="0"/>
        </w:numPr>
        <w:kinsoku/>
        <w:wordWrap/>
        <w:overflowPunct/>
        <w:topLinePunct w:val="0"/>
        <w:autoSpaceDE/>
        <w:autoSpaceDN/>
        <w:bidi w:val="0"/>
        <w:adjustRightInd/>
        <w:snapToGrid/>
        <w:spacing w:before="0" w:after="0" w:line="554" w:lineRule="exact"/>
        <w:ind w:firstLine="640" w:firstLineChars="200"/>
        <w:textAlignment w:val="auto"/>
        <w:rPr>
          <w:rFonts w:hint="eastAsia" w:ascii="黑体" w:hAnsi="黑体" w:eastAsia="黑体" w:cs="黑体"/>
          <w:b w:val="0"/>
          <w:bCs w:val="0"/>
          <w:sz w:val="32"/>
          <w:szCs w:val="32"/>
        </w:rPr>
      </w:pPr>
      <w:bookmarkStart w:id="69" w:name="_Toc31011"/>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促进小农户和现代农业发展有机衔接</w:t>
      </w:r>
      <w:bookmarkEnd w:id="69"/>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扶持小农户之间和新型农业经营主体之间展开合作和联合。</w:t>
      </w:r>
      <w:r>
        <w:rPr>
          <w:rFonts w:hint="default" w:ascii="Times New Roman" w:hAnsi="Times New Roman" w:eastAsia="仿宋_GB2312" w:cs="Times New Roman"/>
          <w:sz w:val="32"/>
          <w:szCs w:val="32"/>
        </w:rPr>
        <w:t>充分发挥好市场在资源配置中的决定性作用，坚持政府引导小农户土地经营权的流转，提高小农户的经营效率。统筹兼顾培育新型农业经营主体和扶持小农户，发挥新型农业经营主体对小农户的带动作用，健全新型农业经营主体与小农户的利益联结机制，实现小农户家庭经营与合作经营、集体经营、企业经营等多种经营形式共同发展。</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启动家庭农场培育计划。</w:t>
      </w:r>
      <w:r>
        <w:rPr>
          <w:rFonts w:hint="default" w:ascii="Times New Roman" w:hAnsi="Times New Roman" w:eastAsia="仿宋_GB2312" w:cs="Times New Roman"/>
          <w:sz w:val="32"/>
          <w:szCs w:val="32"/>
        </w:rPr>
        <w:t>采取优先承租流转土地、提供贴息贷款、加强技术服务等方式，鼓励有长期稳定务农意愿的小农户稳步扩大规模。实施小农户能力提升工程，鼓励小农户接受新技术培训，开展种养技术、经营管理、农业面源污染治理、政策法律法规等方面的培训。</w:t>
      </w:r>
    </w:p>
    <w:p>
      <w:pPr>
        <w:pageBreakBefore w:val="0"/>
        <w:widowControl w:val="0"/>
        <w:kinsoku/>
        <w:wordWrap/>
        <w:overflowPunct/>
        <w:topLinePunct w:val="0"/>
        <w:autoSpaceDE/>
        <w:autoSpaceDN/>
        <w:bidi w:val="0"/>
        <w:adjustRightInd/>
        <w:snapToGrid/>
        <w:spacing w:line="554"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提高小农户组织化程度。</w:t>
      </w:r>
      <w:r>
        <w:rPr>
          <w:rFonts w:hint="default" w:ascii="Times New Roman" w:hAnsi="Times New Roman" w:eastAsia="仿宋_GB2312" w:cs="Times New Roman"/>
          <w:sz w:val="32"/>
          <w:szCs w:val="32"/>
        </w:rPr>
        <w:t>引导小农户依法组建协会、联合会，共同对接</w:t>
      </w:r>
      <w:r>
        <w:rPr>
          <w:rStyle w:val="56"/>
          <w:rFonts w:hint="default" w:ascii="Times New Roman" w:hAnsi="Times New Roman" w:eastAsia="仿宋_GB2312" w:cs="Times New Roman"/>
          <w:sz w:val="32"/>
          <w:szCs w:val="32"/>
        </w:rPr>
        <w:t>市场，提升市场竞争力，鼓励龙头企业通过</w:t>
      </w:r>
      <w:r>
        <w:rPr>
          <w:rStyle w:val="56"/>
          <w:rFonts w:hint="default" w:ascii="Times New Roman" w:hAnsi="Times New Roman" w:eastAsia="仿宋_GB2312" w:cs="Times New Roman"/>
          <w:sz w:val="32"/>
          <w:szCs w:val="32"/>
          <w:lang w:eastAsia="zh-CN"/>
        </w:rPr>
        <w:t>“</w:t>
      </w:r>
      <w:r>
        <w:rPr>
          <w:rStyle w:val="56"/>
          <w:rFonts w:hint="default" w:ascii="Times New Roman" w:hAnsi="Times New Roman" w:eastAsia="仿宋_GB2312" w:cs="Times New Roman"/>
          <w:sz w:val="32"/>
          <w:szCs w:val="32"/>
        </w:rPr>
        <w:t>公司+农户</w:t>
      </w:r>
      <w:r>
        <w:rPr>
          <w:rStyle w:val="56"/>
          <w:rFonts w:hint="default" w:ascii="Times New Roman" w:hAnsi="Times New Roman" w:eastAsia="仿宋_GB2312" w:cs="Times New Roman"/>
          <w:sz w:val="32"/>
          <w:szCs w:val="32"/>
          <w:lang w:eastAsia="zh-CN"/>
        </w:rPr>
        <w:t>”“</w:t>
      </w:r>
      <w:r>
        <w:rPr>
          <w:rStyle w:val="56"/>
          <w:rFonts w:hint="default" w:ascii="Times New Roman" w:hAnsi="Times New Roman" w:eastAsia="仿宋_GB2312" w:cs="Times New Roman"/>
          <w:sz w:val="32"/>
          <w:szCs w:val="32"/>
        </w:rPr>
        <w:t>公司+农民合作社+农户</w:t>
      </w:r>
      <w:r>
        <w:rPr>
          <w:rStyle w:val="56"/>
          <w:rFonts w:hint="default" w:ascii="Times New Roman" w:hAnsi="Times New Roman" w:eastAsia="仿宋_GB2312" w:cs="Times New Roman"/>
          <w:sz w:val="32"/>
          <w:szCs w:val="32"/>
          <w:lang w:eastAsia="zh-CN"/>
        </w:rPr>
        <w:t>”</w:t>
      </w:r>
      <w:r>
        <w:rPr>
          <w:rStyle w:val="56"/>
          <w:rFonts w:hint="default" w:ascii="Times New Roman" w:hAnsi="Times New Roman" w:eastAsia="仿宋_GB2312" w:cs="Times New Roman"/>
          <w:sz w:val="32"/>
          <w:szCs w:val="32"/>
        </w:rPr>
        <w:t>等方式，延长产业链、保障供应链、完善利益链，将小农户纳入现代农业产业体系。</w:t>
      </w:r>
    </w:p>
    <w:p>
      <w:pPr>
        <w:pStyle w:val="2"/>
        <w:rPr>
          <w:rStyle w:val="56"/>
          <w:rFonts w:hint="default" w:ascii="Times New Roman" w:hAnsi="Times New Roman" w:eastAsia="仿宋_GB2312" w:cs="Times New Roman"/>
          <w:sz w:val="32"/>
          <w:szCs w:val="32"/>
        </w:rPr>
      </w:pPr>
    </w:p>
    <w:p>
      <w:pPr>
        <w:pStyle w:val="2"/>
        <w:rPr>
          <w:rStyle w:val="56"/>
          <w:rFonts w:hint="default" w:ascii="Times New Roman" w:hAnsi="Times New Roman" w:eastAsia="仿宋_GB2312" w:cs="Times New Roman"/>
          <w:sz w:val="32"/>
          <w:szCs w:val="32"/>
        </w:rPr>
      </w:pPr>
    </w:p>
    <w:p>
      <w:pPr>
        <w:pStyle w:val="2"/>
        <w:rPr>
          <w:rStyle w:val="56"/>
          <w:rFonts w:hint="default" w:ascii="Times New Roman" w:hAnsi="Times New Roman" w:eastAsia="仿宋_GB2312" w:cs="Times New Roman"/>
          <w:sz w:val="32"/>
          <w:szCs w:val="32"/>
        </w:rPr>
      </w:pPr>
    </w:p>
    <w:p>
      <w:pPr>
        <w:pStyle w:val="2"/>
        <w:rPr>
          <w:rStyle w:val="56"/>
          <w:rFonts w:hint="default" w:ascii="Times New Roman" w:hAnsi="Times New Roman" w:eastAsia="仿宋_GB2312" w:cs="Times New Roman"/>
          <w:sz w:val="32"/>
          <w:szCs w:val="32"/>
        </w:rPr>
      </w:pPr>
    </w:p>
    <w:p>
      <w:pPr>
        <w:pStyle w:val="2"/>
        <w:rPr>
          <w:rStyle w:val="56"/>
          <w:rFonts w:hint="default" w:ascii="Times New Roman" w:hAnsi="Times New Roman" w:eastAsia="仿宋_GB2312" w:cs="Times New Roman"/>
          <w:sz w:val="32"/>
          <w:szCs w:val="32"/>
        </w:rPr>
      </w:pPr>
    </w:p>
    <w:p>
      <w:pPr>
        <w:pStyle w:val="2"/>
        <w:rPr>
          <w:rStyle w:val="56"/>
          <w:rFonts w:hint="default" w:ascii="Times New Roman" w:hAnsi="Times New Roman" w:eastAsia="仿宋_GB2312" w:cs="Times New Roman"/>
          <w:sz w:val="32"/>
          <w:szCs w:val="32"/>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1" w:hRule="atLeast"/>
          <w:jc w:val="center"/>
        </w:trPr>
        <w:tc>
          <w:tcPr>
            <w:tcW w:w="8046" w:type="dxa"/>
          </w:tcPr>
          <w:p>
            <w:pPr>
              <w:widowControl/>
              <w:spacing w:line="240" w:lineRule="auto"/>
              <w:ind w:firstLine="0"/>
              <w:jc w:val="center"/>
              <w:rPr>
                <w:rFonts w:hint="default" w:ascii="Times New Roman" w:hAnsi="Times New Roman" w:eastAsia="仿宋_GB2312" w:cs="Times New Roman"/>
                <w:b/>
                <w:bCs/>
                <w:sz w:val="21"/>
                <w:szCs w:val="21"/>
                <w:shd w:val="clear" w:color="auto" w:fill="FFFFFF"/>
              </w:rPr>
            </w:pPr>
            <w:r>
              <w:rPr>
                <w:rFonts w:hint="default" w:ascii="Times New Roman" w:hAnsi="Times New Roman" w:eastAsia="仿宋_GB2312" w:cs="Times New Roman"/>
                <w:b/>
                <w:bCs/>
                <w:sz w:val="21"/>
                <w:szCs w:val="21"/>
                <w:shd w:val="clear" w:color="auto" w:fill="FFFFFF"/>
              </w:rPr>
              <w:t>专栏1  农业重点项目</w:t>
            </w:r>
          </w:p>
          <w:p>
            <w:pPr>
              <w:spacing w:line="400" w:lineRule="exact"/>
              <w:rPr>
                <w:rFonts w:hint="default" w:ascii="Times New Roman" w:hAnsi="Times New Roman" w:eastAsia="仿宋_GB2312" w:cs="Times New Roman"/>
                <w:bCs/>
                <w:sz w:val="21"/>
                <w:szCs w:val="21"/>
              </w:rPr>
            </w:pPr>
            <w:r>
              <w:rPr>
                <w:rFonts w:hint="default" w:ascii="Times New Roman" w:hAnsi="Times New Roman" w:eastAsia="仿宋_GB2312" w:cs="Times New Roman"/>
                <w:b/>
                <w:bCs/>
                <w:sz w:val="21"/>
                <w:szCs w:val="21"/>
              </w:rPr>
              <w:t>黑土地保护工程。</w:t>
            </w:r>
            <w:r>
              <w:rPr>
                <w:rFonts w:hint="default" w:ascii="Times New Roman" w:hAnsi="Times New Roman" w:eastAsia="仿宋_GB2312" w:cs="Times New Roman"/>
                <w:bCs/>
                <w:sz w:val="21"/>
                <w:szCs w:val="21"/>
              </w:rPr>
              <w:t>重点推广秸秆覆盖还田免耕和秸秆覆盖还田少耕两种保护性耕作技术类型。建立耕地保护补偿机制，落实农民及村级集体经济组织的耕地保护责任。采取地力培肥等综合措施，提高农田质量水平。</w:t>
            </w:r>
          </w:p>
          <w:p>
            <w:pPr>
              <w:spacing w:line="400" w:lineRule="exact"/>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农村一二三产业融合工程。</w:t>
            </w:r>
            <w:r>
              <w:rPr>
                <w:rFonts w:hint="default" w:ascii="Times New Roman" w:hAnsi="Times New Roman" w:eastAsia="仿宋_GB2312" w:cs="Times New Roman"/>
                <w:bCs/>
                <w:sz w:val="21"/>
                <w:szCs w:val="21"/>
              </w:rPr>
              <w:t>鼓励支持企业对蛟河市农产品开展食品研发、加工项目。开展农产品营销平台和农产品品牌建设，推进农业一二三产融合。</w:t>
            </w:r>
          </w:p>
          <w:p>
            <w:pPr>
              <w:spacing w:line="400" w:lineRule="exact"/>
              <w:rPr>
                <w:rFonts w:hint="default" w:ascii="Times New Roman" w:hAnsi="Times New Roman" w:eastAsia="仿宋_GB2312" w:cs="Times New Roman"/>
                <w:bCs/>
                <w:sz w:val="21"/>
                <w:szCs w:val="21"/>
              </w:rPr>
            </w:pPr>
            <w:r>
              <w:rPr>
                <w:rFonts w:hint="default" w:ascii="Times New Roman" w:hAnsi="Times New Roman" w:eastAsia="仿宋_GB2312" w:cs="Times New Roman"/>
                <w:b/>
                <w:bCs/>
                <w:sz w:val="21"/>
                <w:szCs w:val="21"/>
              </w:rPr>
              <w:t>可持续农业绿色发展工程。</w:t>
            </w:r>
            <w:r>
              <w:rPr>
                <w:rFonts w:hint="default" w:ascii="Times New Roman" w:hAnsi="Times New Roman" w:eastAsia="仿宋_GB2312" w:cs="Times New Roman"/>
                <w:bCs/>
                <w:sz w:val="21"/>
                <w:szCs w:val="21"/>
              </w:rPr>
              <w:t>全市推进农作物秸秆综合利用、农药包装废弃物回收处理、废旧农膜和肥料包装物回收利用（处理）体系等基础设施、生产设施设备建设，开展养殖和屠宰环节无害化处理。推进生态循环农业示范建设，支持推广新型种养和资源循环利用模式。</w:t>
            </w:r>
          </w:p>
          <w:p>
            <w:pPr>
              <w:spacing w:line="400" w:lineRule="exact"/>
              <w:rPr>
                <w:rFonts w:hint="default" w:ascii="Times New Roman" w:hAnsi="Times New Roman" w:eastAsia="仿宋_GB2312" w:cs="Times New Roman"/>
                <w:bCs/>
                <w:sz w:val="21"/>
                <w:szCs w:val="21"/>
              </w:rPr>
            </w:pPr>
            <w:r>
              <w:rPr>
                <w:rFonts w:hint="default" w:ascii="Times New Roman" w:hAnsi="Times New Roman" w:eastAsia="仿宋_GB2312" w:cs="Times New Roman"/>
                <w:b/>
                <w:bCs/>
                <w:sz w:val="21"/>
                <w:szCs w:val="21"/>
              </w:rPr>
              <w:t>畜牧业优质安全提升工程。</w:t>
            </w:r>
            <w:r>
              <w:rPr>
                <w:rFonts w:hint="default" w:ascii="Times New Roman" w:hAnsi="Times New Roman" w:eastAsia="仿宋_GB2312" w:cs="Times New Roman"/>
                <w:bCs/>
                <w:sz w:val="21"/>
                <w:szCs w:val="21"/>
              </w:rPr>
              <w:t>开展标准化养殖场建设，促进畜牧业规模化、生态化、标准化、特色化和产业化发展。实施畜产品质量安全提升计划，扩大“无抗养殖”试点示范，推广普及科学养殖技术，提升全程可追溯能力。加</w:t>
            </w:r>
            <w:r>
              <w:rPr>
                <w:rFonts w:hint="default" w:ascii="Times New Roman" w:hAnsi="Times New Roman" w:eastAsia="仿宋_GB2312" w:cs="Times New Roman"/>
                <w:bCs/>
                <w:sz w:val="21"/>
                <w:szCs w:val="21"/>
                <w:lang w:eastAsia="zh-CN"/>
              </w:rPr>
              <w:t>快</w:t>
            </w:r>
            <w:r>
              <w:rPr>
                <w:rFonts w:hint="default" w:ascii="Times New Roman" w:hAnsi="Times New Roman" w:eastAsia="仿宋_GB2312" w:cs="Times New Roman"/>
                <w:bCs/>
                <w:sz w:val="21"/>
                <w:szCs w:val="21"/>
              </w:rPr>
              <w:t>发展特色黑牦牛等产业，开发梅花鹿地方特色品种。</w:t>
            </w:r>
          </w:p>
          <w:p>
            <w:pPr>
              <w:spacing w:line="400" w:lineRule="exact"/>
              <w:rPr>
                <w:rFonts w:hint="default" w:ascii="Times New Roman" w:hAnsi="Times New Roman" w:eastAsia="仿宋_GB2312" w:cs="Times New Roman"/>
                <w:bCs/>
                <w:sz w:val="21"/>
                <w:szCs w:val="21"/>
              </w:rPr>
            </w:pPr>
            <w:r>
              <w:rPr>
                <w:rFonts w:hint="default" w:ascii="Times New Roman" w:hAnsi="Times New Roman" w:eastAsia="仿宋_GB2312" w:cs="Times New Roman"/>
                <w:b/>
                <w:bCs/>
                <w:sz w:val="21"/>
                <w:szCs w:val="21"/>
              </w:rPr>
              <w:t>数字农业和科技创新工程。</w:t>
            </w:r>
            <w:r>
              <w:rPr>
                <w:rFonts w:hint="default" w:ascii="Times New Roman" w:hAnsi="Times New Roman" w:eastAsia="仿宋_GB2312" w:cs="Times New Roman"/>
                <w:bCs/>
                <w:sz w:val="21"/>
                <w:szCs w:val="21"/>
              </w:rPr>
              <w:t>依托国家级“互联网+”农产品出村进城工程试点县项目，开展农业物联网示范点建设，推进智慧农业生产。建设一批特色鲜明的5G农业应用示范基地。打造一批生态智慧农场。扶持培育“育繁推”一体化种子企业和具有自主知识产权的特色新品种。</w:t>
            </w:r>
          </w:p>
          <w:p>
            <w:pPr>
              <w:spacing w:line="400" w:lineRule="exact"/>
              <w:rPr>
                <w:rFonts w:hint="default" w:ascii="Times New Roman" w:hAnsi="Times New Roman" w:eastAsia="仿宋_GB2312" w:cs="Times New Roman"/>
                <w:shd w:val="clear" w:color="auto" w:fill="FFFFFF"/>
              </w:rPr>
            </w:pPr>
            <w:r>
              <w:rPr>
                <w:rFonts w:hint="default" w:ascii="Times New Roman" w:hAnsi="Times New Roman" w:eastAsia="仿宋_GB2312" w:cs="Times New Roman"/>
                <w:b/>
                <w:bCs/>
                <w:sz w:val="21"/>
                <w:szCs w:val="21"/>
              </w:rPr>
              <w:t>新主体培育工程。</w:t>
            </w:r>
            <w:r>
              <w:rPr>
                <w:rFonts w:hint="default" w:ascii="Times New Roman" w:hAnsi="Times New Roman" w:eastAsia="仿宋_GB2312" w:cs="Times New Roman"/>
                <w:bCs/>
                <w:sz w:val="21"/>
                <w:szCs w:val="21"/>
              </w:rPr>
              <w:t>支持家庭农场、合作社改善生产和服务设施；支持农业龙头企业做强做大，开展全产业链建设；扶持大学毕业生从事现代农业生产经营。实施国家和省市县级示范社四级联创，把符合条件</w:t>
            </w:r>
            <w:r>
              <w:rPr>
                <w:rFonts w:hint="default" w:ascii="Times New Roman" w:hAnsi="Times New Roman" w:eastAsia="仿宋_GB2312" w:cs="Times New Roman"/>
                <w:bCs/>
                <w:sz w:val="21"/>
                <w:szCs w:val="21"/>
                <w:lang w:eastAsia="zh-CN"/>
              </w:rPr>
              <w:t>的</w:t>
            </w:r>
            <w:r>
              <w:rPr>
                <w:rFonts w:hint="default" w:ascii="Times New Roman" w:hAnsi="Times New Roman" w:eastAsia="仿宋_GB2312" w:cs="Times New Roman"/>
                <w:bCs/>
                <w:sz w:val="21"/>
                <w:szCs w:val="21"/>
              </w:rPr>
              <w:t>种养大户、专业大户纳入家庭农场范围。推进“龙头企业+合作社+基地”模式发展，推广土地托管、土地入股、代耕代种等模式。</w:t>
            </w:r>
          </w:p>
        </w:tc>
      </w:tr>
    </w:tbl>
    <w:p>
      <w:pPr>
        <w:widowControl/>
        <w:spacing w:line="240" w:lineRule="auto"/>
        <w:ind w:firstLine="0"/>
        <w:jc w:val="center"/>
        <w:rPr>
          <w:szCs w:val="30"/>
        </w:rPr>
      </w:pPr>
      <w:bookmarkStart w:id="70" w:name="_Toc55314883"/>
      <w:bookmarkStart w:id="71" w:name="_Toc54275587"/>
    </w:p>
    <w:p>
      <w:pPr>
        <w:widowControl/>
        <w:spacing w:line="240" w:lineRule="auto"/>
        <w:ind w:firstLine="0"/>
        <w:jc w:val="left"/>
        <w:rPr>
          <w:szCs w:val="30"/>
        </w:rPr>
      </w:pPr>
      <w:r>
        <w:rPr>
          <w:szCs w:val="30"/>
        </w:rPr>
        <w:br w:type="page"/>
      </w:r>
    </w:p>
    <w:p>
      <w:pPr>
        <w:pStyle w:val="4"/>
        <w:pageBreakBefore w:val="0"/>
        <w:widowControl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72" w:name="_Toc16312"/>
      <w:bookmarkStart w:id="73" w:name="_Toc60232820"/>
      <w:r>
        <w:rPr>
          <w:rFonts w:hint="eastAsia" w:ascii="方正小标宋简体" w:hAnsi="方正小标宋简体" w:eastAsia="方正小标宋简体" w:cs="方正小标宋简体"/>
          <w:b w:val="0"/>
          <w:bCs w:val="0"/>
          <w:sz w:val="32"/>
          <w:szCs w:val="32"/>
        </w:rPr>
        <w:t>着力推进传统优势产业转型升级</w:t>
      </w:r>
      <w:bookmarkEnd w:id="70"/>
      <w:bookmarkEnd w:id="71"/>
      <w:bookmarkEnd w:id="72"/>
      <w:bookmarkEnd w:id="73"/>
    </w:p>
    <w:p>
      <w:pPr>
        <w:pStyle w:val="5"/>
        <w:pageBreakBefore w:val="0"/>
        <w:widowControl w:val="0"/>
        <w:numPr>
          <w:ilvl w:val="0"/>
          <w:numId w:val="11"/>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74" w:name="_Toc26734"/>
      <w:bookmarkStart w:id="75" w:name="_Toc55314884"/>
      <w:r>
        <w:rPr>
          <w:rFonts w:hint="eastAsia" w:ascii="方正小标宋简体" w:hAnsi="方正小标宋简体" w:eastAsia="方正小标宋简体" w:cs="方正小标宋简体"/>
          <w:b w:val="0"/>
          <w:bCs w:val="0"/>
          <w:sz w:val="32"/>
          <w:szCs w:val="32"/>
        </w:rPr>
        <w:t>推动石材产业绿色循环发展</w:t>
      </w:r>
      <w:bookmarkEnd w:id="74"/>
      <w:bookmarkEnd w:id="75"/>
    </w:p>
    <w:p>
      <w:pPr>
        <w:pStyle w:val="6"/>
        <w:pageBreakBefore w:val="0"/>
        <w:widowControl w:val="0"/>
        <w:numPr>
          <w:ilvl w:val="0"/>
          <w:numId w:val="0"/>
        </w:numPr>
        <w:kinsoku/>
        <w:wordWrap/>
        <w:overflowPunct/>
        <w:topLinePunct w:val="0"/>
        <w:autoSpaceDE/>
        <w:autoSpaceDN/>
        <w:bidi w:val="0"/>
        <w:adjustRightInd/>
        <w:snapToGrid/>
        <w:spacing w:before="0" w:after="0" w:line="560" w:lineRule="exact"/>
        <w:textAlignment w:val="auto"/>
        <w:rPr>
          <w:rFonts w:hint="eastAsia" w:ascii="Times New Roman" w:hAnsi="Times New Roman" w:eastAsia="仿宋_GB2312" w:cs="Times New Roman"/>
          <w:sz w:val="32"/>
          <w:szCs w:val="32"/>
          <w:lang w:eastAsia="zh-CN"/>
        </w:rPr>
      </w:pP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提升企业自主创新水平</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建立健全产业技术创新体系。</w:t>
      </w:r>
      <w:r>
        <w:rPr>
          <w:rFonts w:hint="default" w:ascii="Times New Roman" w:hAnsi="Times New Roman" w:eastAsia="仿宋_GB2312" w:cs="Times New Roman"/>
          <w:sz w:val="32"/>
          <w:szCs w:val="32"/>
        </w:rPr>
        <w:t>鼓励企业以产品市场空间拓展为目标建立健全产业技术创新体系，以创新设计、工业设计、装饰设计以及人居文化设计为突破口，引导石材产品由简单拼装，向个性化和整体</w:t>
      </w:r>
      <w:r>
        <w:rPr>
          <w:rFonts w:hint="default" w:ascii="Times New Roman" w:hAnsi="Times New Roman" w:eastAsia="仿宋_GB2312" w:cs="Times New Roman"/>
          <w:sz w:val="32"/>
          <w:szCs w:val="32"/>
          <w:lang w:eastAsia="zh-CN"/>
        </w:rPr>
        <w:t>化</w:t>
      </w:r>
      <w:r>
        <w:rPr>
          <w:rFonts w:hint="default" w:ascii="Times New Roman" w:hAnsi="Times New Roman" w:eastAsia="仿宋_GB2312" w:cs="Times New Roman"/>
          <w:sz w:val="32"/>
          <w:szCs w:val="32"/>
        </w:rPr>
        <w:t>解决方案转变。鼓励企业建立自主研发中心、工程技术中心，支持有条件的企业申请省级、国家级技术研发中心。推动与中科院、吉林大学、沈阳建筑大学</w:t>
      </w:r>
      <w:r>
        <w:rPr>
          <w:rFonts w:hint="default" w:ascii="Times New Roman" w:hAnsi="Times New Roman" w:eastAsia="仿宋_GB2312" w:cs="Times New Roman"/>
          <w:sz w:val="32"/>
          <w:szCs w:val="32"/>
          <w:lang w:eastAsia="zh-CN"/>
        </w:rPr>
        <w:t>等高等</w:t>
      </w:r>
      <w:r>
        <w:rPr>
          <w:rFonts w:hint="default" w:ascii="Times New Roman" w:hAnsi="Times New Roman" w:eastAsia="仿宋_GB2312" w:cs="Times New Roman"/>
          <w:sz w:val="32"/>
          <w:szCs w:val="32"/>
        </w:rPr>
        <w:t>院校和科研院所开展合作，提高石材加工资源综合利用水平，开展清洁生产、节能环保等新技术、新工艺、新设备等方面的自主研发，培育发展一批具有知识产权的优势企业。</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积极引进现代化技术设备。</w:t>
      </w:r>
      <w:r>
        <w:rPr>
          <w:rFonts w:hint="default" w:ascii="Times New Roman" w:hAnsi="Times New Roman" w:eastAsia="仿宋_GB2312" w:cs="Times New Roman"/>
          <w:sz w:val="32"/>
          <w:szCs w:val="32"/>
        </w:rPr>
        <w:t>瞄准国际最先进石材设备发展动态，引导矿山企业引进新型开采设备和先进开采技术，提高石材开采能力和资源利用率。引导石材加工企业进行技术改造，大力引进组合锯、绳锯、自动磨机、红外线切机等先进加工设备，提高产品产能和品质，降低运营成本和能耗，增强市场竞争力和占有率。按照市场发展规律和产品专业化、精品化的要求，注重开发</w:t>
      </w:r>
      <w:r>
        <w:rPr>
          <w:rFonts w:hint="default" w:ascii="Times New Roman" w:hAnsi="Times New Roman" w:eastAsia="仿宋_GB2312" w:cs="Times New Roman"/>
          <w:sz w:val="32"/>
          <w:szCs w:val="32"/>
          <w:lang w:eastAsia="zh-CN"/>
        </w:rPr>
        <w:t>高档次产品，如</w:t>
      </w:r>
      <w:r>
        <w:rPr>
          <w:rFonts w:hint="default" w:ascii="Times New Roman" w:hAnsi="Times New Roman" w:eastAsia="仿宋_GB2312" w:cs="Times New Roman"/>
          <w:sz w:val="32"/>
          <w:szCs w:val="32"/>
        </w:rPr>
        <w:t>石雕制品、异型材以及仿古、仿欧式建筑材料等，</w:t>
      </w:r>
      <w:r>
        <w:rPr>
          <w:rFonts w:hint="default" w:ascii="Times New Roman" w:hAnsi="Times New Roman" w:eastAsia="仿宋_GB2312" w:cs="Times New Roman"/>
          <w:sz w:val="32"/>
          <w:szCs w:val="32"/>
          <w:lang w:eastAsia="zh-CN"/>
        </w:rPr>
        <w:t>并致力于</w:t>
      </w:r>
      <w:r>
        <w:rPr>
          <w:rFonts w:hint="default" w:ascii="Times New Roman" w:hAnsi="Times New Roman" w:eastAsia="仿宋_GB2312" w:cs="Times New Roman"/>
          <w:sz w:val="32"/>
          <w:szCs w:val="32"/>
        </w:rPr>
        <w:t>形成品牌特色。到2025年石材开采荒料率、固体废弃物资源化利用率、生活污水处理达标率、工业废水循环利用率分别达到40%、80%、100%、100%。</w:t>
      </w: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大力发展循环石材经济</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加强石材废弃物综合利用。</w:t>
      </w:r>
      <w:r>
        <w:rPr>
          <w:rFonts w:hint="default" w:ascii="Times New Roman" w:hAnsi="Times New Roman" w:eastAsia="仿宋_GB2312" w:cs="Times New Roman"/>
          <w:sz w:val="32"/>
          <w:szCs w:val="32"/>
        </w:rPr>
        <w:t>推进石材产业与砂石骨料产业融合发展，鼓励以矿山废石加工建筑商砼骨料、道路基础设施垫料等产品。鼓励工艺品、蘑菇石、路缘石、马赛克、拼花等创意产品的开发。鼓励并扶持石粉、碎石等废弃物综合利用项目入区，利用碎石、石粉生产人造玉石、建筑涂料、混凝土砌块、石粉砖等产品，拉长石材业产业链。对石粉、碎石综合利用及污水处理等领域进行研发、产业化投资的企业，在用地审批、贴息贷款、引导资金投向等方面予以重点扶持。</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全方位推广清洁生产。</w:t>
      </w:r>
      <w:r>
        <w:rPr>
          <w:rFonts w:hint="default" w:ascii="Times New Roman" w:hAnsi="Times New Roman" w:eastAsia="仿宋_GB2312" w:cs="Times New Roman"/>
          <w:sz w:val="32"/>
          <w:szCs w:val="32"/>
        </w:rPr>
        <w:t>在全行业开展清洁生产达标活动，推广适用技术，实施节能减排技术改造，贯彻石材清洁生产标准。引入移动式检测仪器对生产车间内粉尘和噪音进行多点移动监测。加强石材废粉综合利用技术开发和产业化项目建设。</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推进石材循环经济园区建设。</w:t>
      </w:r>
      <w:r>
        <w:rPr>
          <w:rFonts w:hint="default" w:ascii="Times New Roman" w:hAnsi="Times New Roman" w:eastAsia="仿宋_GB2312" w:cs="Times New Roman"/>
          <w:sz w:val="32"/>
          <w:szCs w:val="32"/>
        </w:rPr>
        <w:t>以中国北部（蛟河）石材循环经济产业园为引领，大力引进上下游关联配套企业和项目，支持本地企业改造升级和嫁接整合，实现石材产业转型升级。强化矿山勘探和土地收储，实施302国道天岗园区段改线、天吉变电站扩容等基础设施工程，全力建设北部园区石材铁路物流园，打通“海铁联运”大通道，提高石材出口能力，扩大市场占有率，提升“吉林白”市场影响力，逐步构建“买世界、卖世界”体系。加快推进“生态+”产业体系大融合，推动天岗石材产业园区朝循环经济园区发展，通过产业聚集、产业耦合、产业链延伸，在园区企业之间实现资源循环利用，实现能量、物质的合理、高效转换。打造多功能平台布局，形成一个集贸易、生产、精加工、物流、仓储、展示、电子商务为一体的循环经济体。</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全力推进绿色矿山建设</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严格贯彻《中华人民共和国矿产资源法》等法律法规，认真履行《绿色矿山公约》，遵照国家级绿色矿山建设标准，以实现矿产资源利用集约化、开发方式科学化、企业管理规范化、生产工艺环保化、矿山环境生态化为目标，有序推进、分步实施，构建资源、环境和社会效益相协调的矿山发展模式，建立绿色矿山建设长效机制，力争通过十年时间的建设，将天岗园区打造成国内一流的绿色矿山企业集聚区，形成符合生态文明建设要求的矿业发展新模式。</w:t>
      </w:r>
    </w:p>
    <w:p>
      <w:pPr>
        <w:pStyle w:val="2"/>
        <w:rPr>
          <w:rFonts w:hint="default"/>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6" w:hRule="atLeast"/>
          <w:jc w:val="center"/>
        </w:trPr>
        <w:tc>
          <w:tcPr>
            <w:tcW w:w="8165" w:type="dxa"/>
          </w:tcPr>
          <w:p>
            <w:pPr>
              <w:widowControl/>
              <w:spacing w:line="240" w:lineRule="auto"/>
              <w:ind w:firstLine="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专栏2  绿色石材产业重点项目</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kern w:val="0"/>
                <w:sz w:val="21"/>
                <w:szCs w:val="21"/>
              </w:rPr>
              <w:t>中国北部（蛟河）石材循环经济产业项目。</w:t>
            </w:r>
            <w:r>
              <w:rPr>
                <w:rFonts w:hint="default" w:ascii="Times New Roman" w:hAnsi="Times New Roman" w:eastAsia="仿宋_GB2312" w:cs="Times New Roman"/>
                <w:bCs/>
                <w:kern w:val="0"/>
                <w:sz w:val="21"/>
                <w:szCs w:val="21"/>
              </w:rPr>
              <w:t>占地面积1.5平方公里，年生产石材荒料200万立方米，年加工高端板材1500万平方米，年产创意石雕产品200万件，年石粉处理120万立方米。</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博石矿业矿山开发项目。</w:t>
            </w:r>
            <w:r>
              <w:rPr>
                <w:rFonts w:hint="default" w:ascii="Times New Roman" w:hAnsi="Times New Roman" w:eastAsia="仿宋_GB2312" w:cs="Times New Roman"/>
                <w:bCs/>
                <w:kern w:val="0"/>
                <w:sz w:val="21"/>
                <w:szCs w:val="21"/>
              </w:rPr>
              <w:t>新开发矿山一座，年开采石材荒料100万立方米。</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中石矿业矿山开发项目。</w:t>
            </w:r>
            <w:r>
              <w:rPr>
                <w:rFonts w:hint="default" w:ascii="Times New Roman" w:hAnsi="Times New Roman" w:eastAsia="仿宋_GB2312" w:cs="Times New Roman"/>
                <w:bCs/>
                <w:kern w:val="0"/>
                <w:sz w:val="21"/>
                <w:szCs w:val="21"/>
              </w:rPr>
              <w:t>矿区面积9万平方米，年开采荒料10万平方米。</w:t>
            </w:r>
          </w:p>
          <w:p>
            <w:pPr>
              <w:spacing w:line="400" w:lineRule="exact"/>
              <w:ind w:firstLine="422" w:firstLineChars="200"/>
              <w:jc w:val="left"/>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石粉深加工项目。</w:t>
            </w:r>
            <w:r>
              <w:rPr>
                <w:rFonts w:hint="default" w:ascii="Times New Roman" w:hAnsi="Times New Roman" w:eastAsia="仿宋_GB2312" w:cs="Times New Roman"/>
                <w:bCs/>
                <w:kern w:val="0"/>
                <w:sz w:val="21"/>
                <w:szCs w:val="21"/>
              </w:rPr>
              <w:t>新建三条石粉加工生产线，年处理石粉150万吨，生产硫璃瓦和生产玻璃原材料。</w:t>
            </w:r>
          </w:p>
          <w:p>
            <w:pPr>
              <w:spacing w:line="400" w:lineRule="exact"/>
              <w:ind w:firstLine="422" w:firstLineChars="200"/>
              <w:jc w:val="left"/>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val="0"/>
                <w:kern w:val="0"/>
                <w:sz w:val="21"/>
                <w:szCs w:val="21"/>
              </w:rPr>
              <w:t>蛟河市新安屯铜钼矿开发项目。</w:t>
            </w:r>
            <w:r>
              <w:rPr>
                <w:rFonts w:hint="default" w:ascii="Times New Roman" w:hAnsi="Times New Roman" w:eastAsia="仿宋_GB2312" w:cs="Times New Roman"/>
                <w:bCs/>
                <w:kern w:val="0"/>
                <w:sz w:val="21"/>
                <w:szCs w:val="21"/>
              </w:rPr>
              <w:t>包括铜钼矿选矿、开采和尾矿处理内容，其中地下开采规模为16.5万吨/年，年处理矿石达16.5万吨。</w:t>
            </w:r>
          </w:p>
        </w:tc>
      </w:tr>
    </w:tbl>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76" w:name="_Toc9400"/>
      <w:r>
        <w:rPr>
          <w:rFonts w:hint="eastAsia" w:ascii="方正小标宋简体" w:hAnsi="方正小标宋简体" w:eastAsia="方正小标宋简体" w:cs="方正小标宋简体"/>
          <w:b w:val="0"/>
          <w:bCs w:val="0"/>
          <w:sz w:val="32"/>
          <w:szCs w:val="32"/>
        </w:rPr>
        <w:t>推进医药健康产业创新发展</w:t>
      </w:r>
      <w:bookmarkEnd w:id="76"/>
    </w:p>
    <w:p>
      <w:pPr>
        <w:rPr>
          <w:rFonts w:hint="eastAsia"/>
        </w:rPr>
      </w:pP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加强现有产业链建设</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构建新型医药健康产业体系。立足长白山中药材资源优势和产业基础，做强医药、保健品、功能性食品三大主导板块，做大医疗与健康服务、医药商业与流通、医疗器械设备与仪器三大潜力板块。重点推进中科院苏州医工所蛟河创新产业园项目，突出科技创新支撑产业发展，实现医疗器械生产、胃肠造影颗粒等一批科研成果转化项目落地开工，争创省内乃至全国独具特色的全产业链生物医学高科技产业园区。</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打造“现代化医药园区”。坚持园区化、集群化、集约化发展方向，大力推动长白山制药松杉灵芝口服液、天肽生物活性蛋白肽产品规模化生产，引导添正生物科技深度开发骨胶原蛋白肽、特医功能食品。加快推动长白山灵芝世家、江天生物等项目建设，力促中药配方颗粒、五行泰和医药保健品等一批项目建成投产。探索政府出资建设标准化厂房，“筑巢引凤”吸引潜力药企入驻，引进生物医药上下游衔接配套项目，打造医药产业集群，全方位融入吉林</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敦化医药健康产业聚集区。</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培育引进龙头企业</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zh-CN"/>
        </w:rPr>
        <w:t>培育引进制药企业。</w:t>
      </w:r>
      <w:r>
        <w:rPr>
          <w:rFonts w:hint="default" w:ascii="Times New Roman" w:hAnsi="Times New Roman" w:eastAsia="仿宋_GB2312" w:cs="Times New Roman"/>
          <w:b w:val="0"/>
          <w:bCs w:val="0"/>
          <w:sz w:val="32"/>
          <w:szCs w:val="32"/>
        </w:rPr>
        <w:t>支持长白山制药通过并购、控股参股等多种方式进行兼并重组，做大现代中药产业</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全力支持长白山药剂研发，鼓励药物方面研制，拓展国际市场。引进1-2家国内外大型制药企业，落户蛟河经济开发区，壮大蛟河制药产业规模。</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shd w:val="clear" w:color="auto" w:fill="FFFFFF"/>
        </w:rPr>
        <w:t>培育引进医疗器械企业。</w:t>
      </w:r>
      <w:r>
        <w:rPr>
          <w:rFonts w:hint="default" w:ascii="Times New Roman" w:hAnsi="Times New Roman" w:eastAsia="仿宋_GB2312" w:cs="Times New Roman"/>
          <w:b w:val="0"/>
          <w:bCs w:val="0"/>
          <w:sz w:val="32"/>
          <w:szCs w:val="32"/>
        </w:rPr>
        <w:t>积极对接国际国内生物医药产业研发、生产、销售优强企业，招大引强，延链补链，推动医疗器械产业加速升级转型。加大招商引资政策优惠力度，引进1-2家国内外知名医疗器械制造企业，成立成果转化中心，加强产业集聚效应。</w:t>
      </w: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强化产业链研发创新</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提升中药材加工质量水平。以资源为依托，以资产为纽带，以产业为载体，充分发挥中科院苏州医工所技术优势，对本土企业进行技术支持，增强中药材加工制造企业竞争力。实施标准化生产，强化中药材生产过程控制，建立健全中药材生产、加工和质量安全标准体系，提升蛟河市中药材加工质量水平。</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建设现代化中药材流通体系。依托互联网、大数据技术，发展中药材现代化物流体系，提高中药材包装、仓储等技术水平，建立中药材流通追溯体系，统一标准、统一包装、统一溯源编码。建设集仓储物流、市场贸易、电商平台为一体的现代化中药材产业园，依托吉林省中医药管理局、吉林省中药研究院等政府机构及中医药企业，建成现代化医药物流配送中心，形成立足吉林、辐射全国的中药材物流体系。</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加强中医药对外交流合作。加强与国内外贸易投资促进组织、企业、商协会的广泛联系，加大与国内外高等院校、研究机构、医疗机构和生产企业的合作，不断</w:t>
      </w:r>
      <w:r>
        <w:rPr>
          <w:rFonts w:hint="default" w:ascii="Times New Roman" w:hAnsi="Times New Roman" w:eastAsia="仿宋_GB2312" w:cs="Times New Roman"/>
          <w:b w:val="0"/>
          <w:bCs w:val="0"/>
          <w:sz w:val="32"/>
          <w:szCs w:val="32"/>
          <w:lang w:eastAsia="zh-CN"/>
        </w:rPr>
        <w:t>提升</w:t>
      </w:r>
      <w:r>
        <w:rPr>
          <w:rFonts w:hint="default" w:ascii="Times New Roman" w:hAnsi="Times New Roman" w:eastAsia="仿宋_GB2312" w:cs="Times New Roman"/>
          <w:b w:val="0"/>
          <w:bCs w:val="0"/>
          <w:sz w:val="32"/>
          <w:szCs w:val="32"/>
        </w:rPr>
        <w:t>办医办学经验，推进中医药教育</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科技</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文化</w:t>
      </w:r>
      <w:r>
        <w:rPr>
          <w:rFonts w:hint="default" w:ascii="Times New Roman" w:hAnsi="Times New Roman" w:eastAsia="仿宋_GB2312" w:cs="Times New Roman"/>
          <w:b w:val="0"/>
          <w:bCs w:val="0"/>
          <w:sz w:val="32"/>
          <w:szCs w:val="32"/>
          <w:lang w:eastAsia="zh-CN"/>
        </w:rPr>
        <w:t>的</w:t>
      </w:r>
      <w:r>
        <w:rPr>
          <w:rFonts w:hint="default" w:ascii="Times New Roman" w:hAnsi="Times New Roman" w:eastAsia="仿宋_GB2312" w:cs="Times New Roman"/>
          <w:b w:val="0"/>
          <w:bCs w:val="0"/>
          <w:sz w:val="32"/>
          <w:szCs w:val="32"/>
        </w:rPr>
        <w:t>国际交流和传播，探索建立长效合作机制，在各类中草药通关、法律准入等方面进一步加强合作，简化手续，共同促进中医药事业的发展与进步。</w:t>
      </w:r>
    </w:p>
    <w:p>
      <w:pPr>
        <w:pStyle w:val="2"/>
        <w:rPr>
          <w:rFonts w:hint="default"/>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1" w:hRule="atLeast"/>
          <w:jc w:val="center"/>
        </w:trPr>
        <w:tc>
          <w:tcPr>
            <w:tcW w:w="8292" w:type="dxa"/>
          </w:tcPr>
          <w:p>
            <w:pPr>
              <w:widowControl/>
              <w:spacing w:line="240" w:lineRule="auto"/>
              <w:ind w:firstLine="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专栏3  医药健康产业重点项目</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中科院苏州医工所蛟河创新产业园建设。</w:t>
            </w:r>
            <w:r>
              <w:rPr>
                <w:rFonts w:hint="default" w:ascii="Times New Roman" w:hAnsi="Times New Roman" w:eastAsia="仿宋_GB2312" w:cs="Times New Roman"/>
                <w:bCs/>
                <w:kern w:val="0"/>
                <w:sz w:val="21"/>
                <w:szCs w:val="21"/>
              </w:rPr>
              <w:t>建设中科院苏州医工所蛟河创新产业园，引进并承载生物医药、医疗器械类科研成果转化项目。</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特医食品生产。</w:t>
            </w:r>
            <w:r>
              <w:rPr>
                <w:rFonts w:hint="default" w:ascii="Times New Roman" w:hAnsi="Times New Roman" w:eastAsia="仿宋_GB2312" w:cs="Times New Roman"/>
                <w:bCs/>
                <w:kern w:val="0"/>
                <w:sz w:val="21"/>
                <w:szCs w:val="21"/>
              </w:rPr>
              <w:t>年产10000吨液态和3000吨粉态特医食品。</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医疗器械生产。</w:t>
            </w:r>
            <w:r>
              <w:rPr>
                <w:rFonts w:hint="default" w:ascii="Times New Roman" w:hAnsi="Times New Roman" w:eastAsia="仿宋_GB2312" w:cs="Times New Roman"/>
                <w:bCs/>
                <w:kern w:val="0"/>
                <w:sz w:val="21"/>
                <w:szCs w:val="21"/>
              </w:rPr>
              <w:t>依托中科院苏州医工所成熟科研成果，生产生命体征监测床垫。</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蛟河市医药（医疗器械）及健康食品产业园（一期）建设项目。</w:t>
            </w:r>
            <w:r>
              <w:rPr>
                <w:rFonts w:hint="default" w:ascii="Times New Roman" w:hAnsi="Times New Roman" w:eastAsia="仿宋_GB2312" w:cs="Times New Roman"/>
                <w:bCs/>
                <w:kern w:val="0"/>
                <w:sz w:val="21"/>
                <w:szCs w:val="21"/>
              </w:rPr>
              <w:t>占地面积90468平方米，建筑面积66432万平方米，新建园区主要基础设施及孵化车间、GMP认证车间、标准化车间、仓储、动力站、污水处理站等，购置设备1461台（套）。</w:t>
            </w:r>
          </w:p>
        </w:tc>
      </w:tr>
    </w:tbl>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420" w:leftChars="0"/>
        <w:jc w:val="both"/>
        <w:textAlignment w:val="auto"/>
        <w:rPr>
          <w:rFonts w:hint="eastAsia" w:ascii="方正小标宋简体" w:hAnsi="方正小标宋简体" w:eastAsia="方正小标宋简体" w:cs="方正小标宋简体"/>
          <w:b w:val="0"/>
          <w:bCs w:val="0"/>
          <w:sz w:val="32"/>
          <w:szCs w:val="32"/>
        </w:rPr>
      </w:pPr>
      <w:bookmarkStart w:id="77" w:name="_Toc55314888"/>
      <w:bookmarkStart w:id="78" w:name="_Toc24521"/>
      <w:bookmarkStart w:id="79" w:name="_Toc55314886"/>
    </w:p>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420" w:leftChars="0"/>
        <w:jc w:val="center"/>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eastAsia="zh-CN"/>
        </w:rPr>
        <w:t>第三节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推进新能源新材料产业全面发展</w:t>
      </w:r>
      <w:bookmarkEnd w:id="77"/>
      <w:bookmarkEnd w:id="78"/>
    </w:p>
    <w:p>
      <w:pPr>
        <w:rPr>
          <w:rFonts w:hint="default"/>
        </w:rPr>
      </w:pP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大力推进秸秆发电。充分发挥蛟河良好的生</w:t>
      </w:r>
      <w:r>
        <w:rPr>
          <w:rFonts w:hint="eastAsia" w:ascii="Times New Roman" w:hAnsi="Times New Roman" w:eastAsia="仿宋_GB2312" w:cs="Times New Roman"/>
          <w:b w:val="0"/>
          <w:bCs w:val="0"/>
          <w:sz w:val="32"/>
          <w:szCs w:val="32"/>
          <w:lang w:val="en-US" w:eastAsia="zh-CN"/>
        </w:rPr>
        <w:t>物资</w:t>
      </w:r>
      <w:r>
        <w:rPr>
          <w:rFonts w:hint="default" w:ascii="Times New Roman" w:hAnsi="Times New Roman" w:eastAsia="仿宋_GB2312" w:cs="Times New Roman"/>
          <w:b w:val="0"/>
          <w:bCs w:val="0"/>
          <w:sz w:val="32"/>
          <w:szCs w:val="32"/>
        </w:rPr>
        <w:t>储备优势，以凯迪生物质发电项目为依托，全力推进新能源相关项目建设。支持凯迪绿色能源争取国家补助资金，及时解决企业运营期间遇到的困难和问题，不断扩大发电量。扶持守庆新能源围绕秸秆能源化利用、燃煤锅炉改造等关键技术，形成系列化产品和规模化生产能力。加快推进洁净煤能源公司发展，打造洁净煤生产加工基地。</w:t>
      </w: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加快推进抽水蓄能。成立蛟河抽水蓄能电站专项小组，加快推进抽水蓄能建设工程，保障能源电力安全稳定运行、促进清洁能源消纳，积极发挥承担调峰、填谷、调频、调相及紧急事故备用等任务，配合蛟河风电运行，为东北电网提供网间优势互补。</w:t>
      </w: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积极推进风力发电。依托国网新源公司、唐山拓普生物科技有限公司等龙头企业，以资源换产业，大力推进风电产业招商，争取引进更多更优的新能源装备制造企业项目落户蛟河</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科学有序推进风电规模化发展。</w:t>
      </w: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积极推动新材料产业。着力引进二氧化硅轻质高强板、镍矿产品等一批科技附加值高、带动力强的项目。扶持松江管道开展新产品研发，支持松花湖管业等企业推进产品和技术创新，提高核心竞争力。</w:t>
      </w:r>
    </w:p>
    <w:p>
      <w:pPr>
        <w:pStyle w:val="2"/>
        <w:rPr>
          <w:rFonts w:hint="default"/>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385" w:type="dxa"/>
          </w:tcPr>
          <w:p>
            <w:pPr>
              <w:widowControl/>
              <w:spacing w:line="240" w:lineRule="auto"/>
              <w:ind w:firstLine="422" w:firstLineChars="20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专栏4  新能源新材料重点项目</w:t>
            </w:r>
          </w:p>
          <w:p>
            <w:pPr>
              <w:spacing w:line="240" w:lineRule="auto"/>
              <w:ind w:firstLine="422" w:firstLineChars="200"/>
              <w:rPr>
                <w:rFonts w:hint="default" w:ascii="Times New Roman" w:hAnsi="Times New Roman" w:eastAsia="仿宋_GB2312" w:cs="Times New Roman"/>
                <w:bCs/>
                <w:kern w:val="0"/>
                <w:sz w:val="21"/>
                <w:szCs w:val="21"/>
                <w:lang w:val="en-US" w:eastAsia="zh-CN"/>
              </w:rPr>
            </w:pPr>
            <w:r>
              <w:rPr>
                <w:rFonts w:hint="default" w:ascii="Times New Roman" w:hAnsi="Times New Roman" w:eastAsia="仿宋_GB2312" w:cs="Times New Roman"/>
                <w:b/>
                <w:bCs/>
                <w:kern w:val="0"/>
                <w:sz w:val="21"/>
                <w:szCs w:val="21"/>
              </w:rPr>
              <w:t>吉林蛟河抽水蓄能电站建设。</w:t>
            </w:r>
            <w:r>
              <w:rPr>
                <w:rFonts w:hint="default" w:ascii="Times New Roman" w:hAnsi="Times New Roman" w:eastAsia="仿宋_GB2312" w:cs="Times New Roman"/>
                <w:bCs/>
                <w:kern w:val="0"/>
                <w:sz w:val="21"/>
                <w:szCs w:val="21"/>
              </w:rPr>
              <w:t>总投资70亿元，总装机容量120万千瓦。安装4台单机容量为30万千瓦的可逆式水泵水轮发电机组</w:t>
            </w:r>
            <w:r>
              <w:rPr>
                <w:rFonts w:hint="default" w:ascii="Times New Roman" w:hAnsi="Times New Roman" w:eastAsia="仿宋_GB2312" w:cs="Times New Roman"/>
                <w:bCs/>
                <w:kern w:val="0"/>
                <w:sz w:val="21"/>
                <w:szCs w:val="21"/>
                <w:lang w:eastAsia="zh-CN"/>
              </w:rPr>
              <w:t>。</w:t>
            </w:r>
          </w:p>
          <w:p>
            <w:pPr>
              <w:spacing w:line="240" w:lineRule="auto"/>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分散式风电工程。</w:t>
            </w:r>
            <w:r>
              <w:rPr>
                <w:rFonts w:hint="default" w:ascii="Times New Roman" w:hAnsi="Times New Roman" w:eastAsia="仿宋_GB2312" w:cs="Times New Roman"/>
                <w:bCs/>
                <w:kern w:val="0"/>
                <w:sz w:val="21"/>
                <w:szCs w:val="21"/>
              </w:rPr>
              <w:t>在新站镇、庆岭镇等地建设200MW风力发电设施,其中集中式100MW、分散式100MW。</w:t>
            </w:r>
          </w:p>
          <w:p>
            <w:pPr>
              <w:spacing w:line="240" w:lineRule="auto"/>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光触媒硅藻泥轻质高强度新型建材生产。</w:t>
            </w:r>
            <w:r>
              <w:rPr>
                <w:rFonts w:hint="default" w:ascii="Times New Roman" w:hAnsi="Times New Roman" w:eastAsia="仿宋_GB2312" w:cs="Times New Roman"/>
                <w:bCs/>
                <w:kern w:val="0"/>
                <w:sz w:val="21"/>
                <w:szCs w:val="21"/>
              </w:rPr>
              <w:t>占地面积20万平方米，总建筑面积109822平方米，年产350万平方米的硅藻泥高强板。</w:t>
            </w:r>
          </w:p>
        </w:tc>
      </w:tr>
      <w:bookmarkEnd w:id="79"/>
    </w:tbl>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420" w:leftChars="0"/>
        <w:textAlignment w:val="auto"/>
        <w:rPr>
          <w:rFonts w:hint="eastAsia" w:ascii="Times New Roman" w:hAnsi="Times New Roman" w:eastAsia="仿宋_GB2312" w:cs="Times New Roman"/>
          <w:b w:val="0"/>
          <w:bCs w:val="0"/>
          <w:sz w:val="32"/>
          <w:szCs w:val="32"/>
          <w:lang w:eastAsia="zh-CN"/>
        </w:rPr>
      </w:pPr>
      <w:bookmarkStart w:id="80" w:name="_Toc25914"/>
    </w:p>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420" w:leftChars="0"/>
        <w:jc w:val="center"/>
        <w:textAlignment w:val="auto"/>
        <w:rPr>
          <w:rFonts w:hint="default"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sz w:val="32"/>
          <w:szCs w:val="32"/>
          <w:lang w:eastAsia="zh-CN"/>
        </w:rPr>
        <w:t>第四节</w:t>
      </w:r>
      <w:r>
        <w:rPr>
          <w:rFonts w:hint="eastAsia" w:ascii="方正小标宋简体" w:hAnsi="方正小标宋简体" w:eastAsia="方正小标宋简体" w:cs="方正小标宋简体"/>
          <w:b w:val="0"/>
          <w:bCs w:val="0"/>
          <w:sz w:val="32"/>
          <w:szCs w:val="32"/>
          <w:lang w:val="en-US" w:eastAsia="zh-CN"/>
        </w:rPr>
        <w:t xml:space="preserve"> </w:t>
      </w:r>
      <w:r>
        <w:rPr>
          <w:rFonts w:hint="default" w:ascii="方正小标宋简体" w:hAnsi="方正小标宋简体" w:eastAsia="方正小标宋简体" w:cs="方正小标宋简体"/>
          <w:b w:val="0"/>
          <w:bCs w:val="0"/>
          <w:sz w:val="32"/>
          <w:szCs w:val="32"/>
          <w:lang w:eastAsia="zh-CN"/>
        </w:rPr>
        <w:t>推进长白山特产品精深加工规模化发展</w:t>
      </w:r>
      <w:bookmarkEnd w:id="80"/>
    </w:p>
    <w:p>
      <w:pPr>
        <w:pStyle w:val="6"/>
        <w:pageBreakBefore w:val="0"/>
        <w:widowControl w:val="0"/>
        <w:numPr>
          <w:ilvl w:val="0"/>
          <w:numId w:val="0"/>
        </w:numPr>
        <w:kinsoku/>
        <w:wordWrap/>
        <w:overflowPunct/>
        <w:topLinePunct w:val="0"/>
        <w:autoSpaceDE/>
        <w:autoSpaceDN/>
        <w:bidi w:val="0"/>
        <w:adjustRightInd/>
        <w:snapToGrid/>
        <w:spacing w:before="0" w:after="0" w:line="560" w:lineRule="exact"/>
        <w:textAlignment w:val="auto"/>
        <w:rPr>
          <w:rFonts w:hint="default" w:ascii="Times New Roman" w:hAnsi="Times New Roman" w:eastAsia="仿宋_GB2312" w:cs="Times New Roman"/>
          <w:b w:val="0"/>
          <w:bCs w:val="0"/>
          <w:sz w:val="32"/>
          <w:szCs w:val="32"/>
        </w:rPr>
      </w:pP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提升长白山特产品加工业体量</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加强特产品开发力度。依托我市“长白山立体资源宝库”优势，集中资源扶持本地农业产业化龙头企业，全力引进域外农产品精深加工项目。着力推进长白山特产品精深加工，实施深度开发，延长产业链条，提高产品附加值。促进以黑木耳、灵芝、人参、长白山林特产品、甜粘玉米、长白山黑牛和生态猪等为重点的生鲜、长白山特产品商品化处理。到2025年，规模以上长白山特产品加工业销售收入实现30亿元，吉林市级以上重点龙头企业稳定在30个。</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加快特产品深加工重点园区建设。通过内外资相结合、资本、技术和管理相结合、引进和自主创新相结合、规模效益与质量效益相结合，创新经营机制和管理体制，拓展发展功能，发展壮大特产品深加工园区，使之成为吉林特产品加工产业带的核心区域，成为特产品加工的新载体和孵化器。</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培育壮大特产品加工经营主体。落实上级扶持政策，加大现有龙头企业培育力度，引导得利斯食品建设养殖基地，稳步提高生猪屠宰量，开发猪血、猪油等深加工产品，提高附加值；支持金亿食品提高甜粘玉米加工、储存能力，打造全国最大速冻玉米生产企业；推动黑尊</w:t>
      </w:r>
      <w:r>
        <w:rPr>
          <w:rFonts w:hint="default" w:ascii="Times New Roman" w:hAnsi="Times New Roman" w:eastAsia="仿宋_GB2312" w:cs="Times New Roman"/>
          <w:b w:val="0"/>
          <w:bCs w:val="0"/>
          <w:sz w:val="32"/>
          <w:szCs w:val="32"/>
          <w:lang w:eastAsia="zh-CN"/>
        </w:rPr>
        <w:t>科技</w:t>
      </w:r>
      <w:r>
        <w:rPr>
          <w:rFonts w:hint="default" w:ascii="Times New Roman" w:hAnsi="Times New Roman" w:eastAsia="仿宋_GB2312" w:cs="Times New Roman"/>
          <w:b w:val="0"/>
          <w:bCs w:val="0"/>
          <w:sz w:val="32"/>
          <w:szCs w:val="32"/>
        </w:rPr>
        <w:t>建设食用菌液体菌种生产线，加大工厂化菌袋产量；鼓励长白山酒业、松花湖酒业转变营销模式，生产“定制酒”</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满足市场需求。加大招商引资力度，着力引进黑木耳、灵芝、甜粘玉米等一批农产品精深加工龙头企业，大力发展功能性食品、饮品及绿色食品等终端产品，形成长白山功能保健食品的品牌优势。</w:t>
      </w: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构筑长白山特产品核心竞争力</w:t>
      </w: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提高科技创新能力。引导企业加大科技投入，开展加工技术研发，支持企业加快技术和设备更新改造步伐，促进长白山特产品深加工企业调整产品结构，进一步延伸产业链条，充分挖掘主、副产品的最大价值，提升企业经济效益。加强企业科研队伍建设，不断开发新产品，推进产品更新换代，加快技术研发和成果转化。支持企业建立科研开发机构，提高科技创新能力，大力研究和开发具有自主知识产权的高新技术产品，逐步形成自己的开发技术和创新优势。</w:t>
      </w: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推动产业提质升级。加快企业技术改造，推动产品品质提升，引导建立推动企业技术改造</w:t>
      </w:r>
      <w:r>
        <w:rPr>
          <w:rFonts w:hint="default" w:ascii="Times New Roman" w:hAnsi="Times New Roman" w:eastAsia="仿宋_GB2312" w:cs="Times New Roman"/>
          <w:b w:val="0"/>
          <w:bCs w:val="0"/>
          <w:sz w:val="32"/>
          <w:szCs w:val="32"/>
          <w:lang w:eastAsia="zh-CN"/>
        </w:rPr>
        <w:t>的</w:t>
      </w:r>
      <w:r>
        <w:rPr>
          <w:rFonts w:hint="default" w:ascii="Times New Roman" w:hAnsi="Times New Roman" w:eastAsia="仿宋_GB2312" w:cs="Times New Roman"/>
          <w:b w:val="0"/>
          <w:bCs w:val="0"/>
          <w:sz w:val="32"/>
          <w:szCs w:val="32"/>
        </w:rPr>
        <w:t>长效机制。加快企业产业延伸及产品开发，树立“安全、健康、生态、环保”理念，形成布局合理、技术先进、特色鲜明的长白山特产品加工产业体系。不断健全长白山特产品产加销体系，实施农业品牌提升行动、打造一批区域特色品牌，发展壮大电子商务、物流配送、冷链运输等新业态。</w:t>
      </w:r>
    </w:p>
    <w:p>
      <w:pPr>
        <w:pStyle w:val="2"/>
        <w:rPr>
          <w:rFonts w:hint="default"/>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8512" w:type="dxa"/>
          </w:tcPr>
          <w:p>
            <w:pPr>
              <w:widowControl/>
              <w:spacing w:line="240" w:lineRule="auto"/>
              <w:ind w:firstLine="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专栏5  长白山特产品加工业重点项目</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黑木耳全产业链智能体系产业化建设。</w:t>
            </w:r>
            <w:r>
              <w:rPr>
                <w:rFonts w:hint="default" w:ascii="Times New Roman" w:hAnsi="Times New Roman" w:eastAsia="仿宋_GB2312" w:cs="Times New Roman"/>
                <w:kern w:val="0"/>
                <w:sz w:val="21"/>
                <w:szCs w:val="21"/>
              </w:rPr>
              <w:t>包括木耳</w:t>
            </w:r>
            <w:r>
              <w:rPr>
                <w:rFonts w:hint="default" w:ascii="Times New Roman" w:hAnsi="Times New Roman" w:eastAsia="仿宋_GB2312" w:cs="Times New Roman"/>
                <w:bCs/>
                <w:kern w:val="0"/>
                <w:sz w:val="21"/>
                <w:szCs w:val="21"/>
              </w:rPr>
              <w:t>菌包智能制造区、环保生物质燃料加工区，年产木耳菌包1亿包、生物质颗粒23000吨、再生塑料330吨。</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酵母生产、深加工项目。</w:t>
            </w:r>
            <w:r>
              <w:rPr>
                <w:rFonts w:hint="default" w:ascii="Times New Roman" w:hAnsi="Times New Roman" w:eastAsia="仿宋_GB2312" w:cs="Times New Roman"/>
                <w:bCs/>
                <w:kern w:val="0"/>
                <w:sz w:val="21"/>
                <w:szCs w:val="21"/>
              </w:rPr>
              <w:t>新上两条酵母生产、深加工生产线，利用甜粘玉米青储秸秆，以及酒糟、豆粕、稻壳等粮食深加工副产品，生产高活性酵母，保健类、饲料类等多种产品深加工。</w:t>
            </w:r>
            <w:r>
              <w:rPr>
                <w:rFonts w:hint="default" w:ascii="Times New Roman" w:hAnsi="Times New Roman" w:eastAsia="仿宋_GB2312" w:cs="Times New Roman"/>
                <w:kern w:val="0"/>
                <w:sz w:val="21"/>
                <w:szCs w:val="21"/>
              </w:rPr>
              <w:t>同时对域内粘玉米、</w:t>
            </w:r>
            <w:r>
              <w:rPr>
                <w:rFonts w:hint="default" w:ascii="Times New Roman" w:hAnsi="Times New Roman" w:eastAsia="仿宋_GB2312" w:cs="Times New Roman"/>
                <w:kern w:val="0"/>
                <w:sz w:val="21"/>
                <w:szCs w:val="21"/>
                <w:lang w:eastAsia="zh-CN"/>
              </w:rPr>
              <w:t>沙棘</w:t>
            </w:r>
            <w:r>
              <w:rPr>
                <w:rFonts w:hint="default" w:ascii="Times New Roman" w:hAnsi="Times New Roman" w:eastAsia="仿宋_GB2312" w:cs="Times New Roman"/>
                <w:kern w:val="0"/>
                <w:sz w:val="21"/>
                <w:szCs w:val="21"/>
              </w:rPr>
              <w:t>、蓝莓等产品进行精深加工。</w:t>
            </w:r>
          </w:p>
        </w:tc>
      </w:tr>
    </w:tbl>
    <w:p/>
    <w:p>
      <w:pPr>
        <w:widowControl/>
        <w:spacing w:line="240" w:lineRule="auto"/>
        <w:ind w:firstLine="0"/>
        <w:jc w:val="left"/>
        <w:rPr>
          <w:rFonts w:ascii="Times New Roman" w:hAnsi="Times New Roman" w:eastAsia="黑体"/>
          <w:b/>
          <w:bCs/>
          <w:sz w:val="32"/>
          <w:szCs w:val="32"/>
        </w:rPr>
      </w:pPr>
      <w:bookmarkStart w:id="81" w:name="_Toc54275588"/>
      <w:bookmarkStart w:id="82" w:name="_Toc55314889"/>
      <w:r>
        <w:br w:type="page"/>
      </w:r>
    </w:p>
    <w:bookmarkEnd w:id="81"/>
    <w:bookmarkEnd w:id="82"/>
    <w:p>
      <w:pPr>
        <w:pStyle w:val="4"/>
        <w:pageBreakBefore w:val="0"/>
        <w:widowControl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83" w:name="_Toc23979"/>
      <w:bookmarkStart w:id="84" w:name="_Toc60232821"/>
      <w:r>
        <w:rPr>
          <w:rFonts w:hint="eastAsia" w:ascii="方正小标宋简体" w:hAnsi="方正小标宋简体" w:eastAsia="方正小标宋简体" w:cs="方正小标宋简体"/>
          <w:b w:val="0"/>
          <w:bCs w:val="0"/>
          <w:sz w:val="32"/>
          <w:szCs w:val="32"/>
        </w:rPr>
        <w:t>繁荣现代服务业释放消费潜力</w:t>
      </w:r>
      <w:bookmarkEnd w:id="83"/>
      <w:bookmarkEnd w:id="84"/>
    </w:p>
    <w:p>
      <w:pPr>
        <w:pStyle w:val="5"/>
        <w:pageBreakBefore w:val="0"/>
        <w:widowControl w:val="0"/>
        <w:numPr>
          <w:ilvl w:val="0"/>
          <w:numId w:val="12"/>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85" w:name="_Toc55314893"/>
      <w:bookmarkStart w:id="86" w:name="_Toc5111"/>
      <w:bookmarkStart w:id="87" w:name="_Toc55314890"/>
      <w:r>
        <w:rPr>
          <w:rFonts w:hint="eastAsia" w:ascii="方正小标宋简体" w:hAnsi="方正小标宋简体" w:eastAsia="方正小标宋简体" w:cs="方正小标宋简体"/>
          <w:b w:val="0"/>
          <w:bCs w:val="0"/>
          <w:sz w:val="32"/>
          <w:szCs w:val="32"/>
        </w:rPr>
        <w:t>聚力发展生态旅游</w:t>
      </w:r>
      <w:bookmarkEnd w:id="85"/>
      <w:r>
        <w:rPr>
          <w:rFonts w:hint="eastAsia" w:ascii="方正小标宋简体" w:hAnsi="方正小标宋简体" w:eastAsia="方正小标宋简体" w:cs="方正小标宋简体"/>
          <w:b w:val="0"/>
          <w:bCs w:val="0"/>
          <w:sz w:val="32"/>
          <w:szCs w:val="32"/>
        </w:rPr>
        <w:t>业</w:t>
      </w:r>
      <w:bookmarkEnd w:id="86"/>
    </w:p>
    <w:p>
      <w:pPr>
        <w:rPr>
          <w:rFonts w:hint="default"/>
        </w:rPr>
      </w:pPr>
    </w:p>
    <w:p>
      <w:pPr>
        <w:pStyle w:val="55"/>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紧紧围绕吉林市冰雪产业高质量发展示范区建设的契机，发挥自身优势，找准发展定位，大力发展冰雪经济，打造蛟河冬季旅游品牌；加大开发开放步伐，利用自身区位优势和资源特点，与敦化和松花湖等地的旅游资源相结合，共同打造旅游线路。</w:t>
      </w: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推进全域旅游产品优化升级</w:t>
      </w:r>
    </w:p>
    <w:p>
      <w:pPr>
        <w:pStyle w:val="55"/>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坚持政府主导，以“红叶之城，多彩蛟河”为形象定位，树立全域旅游理念，</w:t>
      </w:r>
      <w:r>
        <w:rPr>
          <w:rFonts w:hint="default" w:ascii="Times New Roman" w:hAnsi="Times New Roman" w:eastAsia="仿宋_GB2312" w:cs="Times New Roman"/>
          <w:sz w:val="32"/>
          <w:szCs w:val="32"/>
          <w:lang w:eastAsia="zh-CN"/>
        </w:rPr>
        <w:t>争创国家级全域旅游示范市。</w:t>
      </w:r>
      <w:r>
        <w:rPr>
          <w:rFonts w:hint="default" w:ascii="Times New Roman" w:hAnsi="Times New Roman" w:eastAsia="仿宋_GB2312" w:cs="Times New Roman"/>
          <w:sz w:val="32"/>
          <w:szCs w:val="32"/>
        </w:rPr>
        <w:t>以冰雪资源、森林生态和乡村特色资源为核心吸引物，突出“文化、深度、体验、康养、慢生活、浪漫、精品”旅游新要素，重点开发冰雪娱乐、森林生态、户外拓展、养生养老、乡村休闲、湖滨度假等旅游产品，建设支撑性旅游项目，完善旅游服务功能，融入区域旅游发展，扩大总量，提升质量，提高财政贡献率，打造旅游业升级版，实现蛟河旅游创新发展。</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冰雪娱乐旅游。</w:t>
      </w:r>
      <w:r>
        <w:rPr>
          <w:rFonts w:hint="default" w:ascii="Times New Roman" w:hAnsi="Times New Roman" w:eastAsia="仿宋_GB2312" w:cs="Times New Roman"/>
          <w:sz w:val="32"/>
          <w:szCs w:val="32"/>
        </w:rPr>
        <w:t>以杨木沟、富江、西荒地、插树岭、金兰湾等湖畔村落为重点，开发雪庄民宿区、冰雪娱乐区、影视摄影拍摄基地、冰雪丝路，打造冰雪驿站，建成具有蛟河特色的湖畔雪村民俗冰雪旅游区；建设西土山、前进民主南山滑雪场，拉法山和金斗宫温泉养生旅游区，前进辽金古城雪国冰雪文化旅游区，打造蛟河冬季旅游品牌。</w:t>
      </w:r>
    </w:p>
    <w:p>
      <w:pPr>
        <w:pStyle w:val="55"/>
        <w:rPr>
          <w:rFonts w:hint="eastAsia" w:ascii="Calibri" w:hAnsi="Calibri"/>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spacing w:line="240" w:lineRule="auto"/>
              <w:ind w:firstLine="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专栏6 冰雪娱乐旅游重</w:t>
            </w:r>
            <w:r>
              <w:rPr>
                <w:rFonts w:hint="default" w:ascii="Times New Roman" w:hAnsi="Times New Roman" w:eastAsia="仿宋_GB2312" w:cs="Times New Roman"/>
                <w:b/>
                <w:bCs/>
                <w:kern w:val="0"/>
                <w:sz w:val="21"/>
                <w:szCs w:val="21"/>
                <w:shd w:val="clear" w:color="auto" w:fill="FFFFFF"/>
                <w:lang w:eastAsia="zh-CN"/>
              </w:rPr>
              <w:t>点</w:t>
            </w:r>
            <w:r>
              <w:rPr>
                <w:rFonts w:hint="default" w:ascii="Times New Roman" w:hAnsi="Times New Roman" w:eastAsia="仿宋_GB2312" w:cs="Times New Roman"/>
                <w:b/>
                <w:bCs/>
                <w:kern w:val="0"/>
                <w:sz w:val="21"/>
                <w:szCs w:val="21"/>
                <w:shd w:val="clear" w:color="auto" w:fill="FFFFFF"/>
              </w:rPr>
              <w:t>项目</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老爷岭滑雪场项目。</w:t>
            </w:r>
            <w:r>
              <w:rPr>
                <w:rFonts w:hint="default" w:ascii="Times New Roman" w:hAnsi="Times New Roman" w:eastAsia="仿宋_GB2312" w:cs="Times New Roman"/>
                <w:kern w:val="0"/>
                <w:sz w:val="21"/>
                <w:szCs w:val="21"/>
                <w:shd w:val="clear" w:color="auto" w:fill="FFFFFF"/>
              </w:rPr>
              <w:t>蛟河市河南街保家村三家沟屯赤水林场32林班建设滑雪</w:t>
            </w:r>
            <w:r>
              <w:rPr>
                <w:rFonts w:hint="default" w:ascii="Times New Roman" w:hAnsi="Times New Roman" w:eastAsia="仿宋_GB2312" w:cs="Times New Roman"/>
                <w:kern w:val="0"/>
                <w:sz w:val="21"/>
                <w:szCs w:val="21"/>
                <w:shd w:val="clear" w:color="auto" w:fill="FFFFFF"/>
                <w:lang w:eastAsia="zh-CN"/>
              </w:rPr>
              <w:t>场</w:t>
            </w:r>
            <w:r>
              <w:rPr>
                <w:rFonts w:hint="default" w:ascii="Times New Roman" w:hAnsi="Times New Roman" w:eastAsia="仿宋_GB2312" w:cs="Times New Roman"/>
                <w:kern w:val="0"/>
                <w:sz w:val="21"/>
                <w:szCs w:val="21"/>
                <w:shd w:val="clear" w:color="auto" w:fill="FFFFFF"/>
              </w:rPr>
              <w:t>。</w:t>
            </w:r>
          </w:p>
          <w:p>
            <w:pPr>
              <w:spacing w:line="240" w:lineRule="auto"/>
              <w:ind w:firstLine="422" w:firstLineChars="200"/>
              <w:jc w:val="left"/>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吉林梦里雪乡旅游开发建设。</w:t>
            </w:r>
            <w:r>
              <w:rPr>
                <w:rFonts w:hint="default" w:ascii="Times New Roman" w:hAnsi="Times New Roman" w:eastAsia="仿宋_GB2312" w:cs="Times New Roman"/>
                <w:kern w:val="0"/>
                <w:sz w:val="21"/>
                <w:szCs w:val="21"/>
                <w:shd w:val="clear" w:color="auto" w:fill="FFFFFF"/>
              </w:rPr>
              <w:t>新站金斗宫一期计划建设初级滑雪道一条，冰雪世界游乐区5000平米；新建东北特色民宿</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山门、旅游接待服务中心、环山栈道、停车场、其他配套服务设施等；二期计划新建木屋小别墅，新建餐饮区1000平方米，新建木栈道三千米及配套设施。</w:t>
            </w:r>
          </w:p>
        </w:tc>
      </w:tr>
    </w:tbl>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b/>
          <w:bCs/>
          <w:sz w:val="32"/>
          <w:szCs w:val="32"/>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森林生态旅游。</w:t>
      </w:r>
      <w:r>
        <w:rPr>
          <w:rFonts w:hint="default" w:ascii="Times New Roman" w:hAnsi="Times New Roman" w:eastAsia="仿宋_GB2312" w:cs="Times New Roman"/>
          <w:sz w:val="32"/>
          <w:szCs w:val="32"/>
        </w:rPr>
        <w:t>以大红叶谷（包括红叶谷、老爷岭、庆岭景区）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红叶岭</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白石山国家森林公园为依托，以红叶观赏带、瀑布群水体景观带、森林垂直分布景观带、艺术创作基地、户外营地等项目为重点，以“森林花园·秋天童话”为旅游形象，打造国内著名红叶观赏和东北地区森林生态旅游目的地。</w:t>
      </w:r>
    </w:p>
    <w:p>
      <w:pPr>
        <w:pStyle w:val="2"/>
        <w:rPr>
          <w:rFonts w:hint="default"/>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ind w:firstLine="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专栏7  森林生态旅游重</w:t>
            </w:r>
            <w:r>
              <w:rPr>
                <w:rFonts w:hint="default" w:ascii="Times New Roman" w:hAnsi="Times New Roman" w:eastAsia="仿宋_GB2312" w:cs="Times New Roman"/>
                <w:b/>
                <w:bCs/>
                <w:kern w:val="0"/>
                <w:sz w:val="21"/>
                <w:szCs w:val="21"/>
                <w:shd w:val="clear" w:color="auto" w:fill="FFFFFF"/>
                <w:lang w:eastAsia="zh-CN"/>
              </w:rPr>
              <w:t>点</w:t>
            </w:r>
            <w:r>
              <w:rPr>
                <w:rFonts w:hint="default" w:ascii="Times New Roman" w:hAnsi="Times New Roman" w:eastAsia="仿宋_GB2312" w:cs="Times New Roman"/>
                <w:b/>
                <w:bCs/>
                <w:kern w:val="0"/>
                <w:sz w:val="21"/>
                <w:szCs w:val="21"/>
                <w:shd w:val="clear" w:color="auto" w:fill="FFFFFF"/>
              </w:rPr>
              <w:t>项目</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森林</w:t>
            </w:r>
            <w:r>
              <w:rPr>
                <w:rFonts w:hint="default" w:ascii="Times New Roman" w:hAnsi="Times New Roman" w:eastAsia="仿宋_GB2312" w:cs="Times New Roman"/>
                <w:b/>
                <w:bCs/>
                <w:kern w:val="0"/>
                <w:sz w:val="21"/>
                <w:szCs w:val="21"/>
                <w:shd w:val="clear" w:color="auto" w:fill="FFFFFF"/>
                <w:lang w:eastAsia="zh-CN"/>
              </w:rPr>
              <w:t>康养</w:t>
            </w:r>
            <w:r>
              <w:rPr>
                <w:rFonts w:hint="default" w:ascii="Times New Roman" w:hAnsi="Times New Roman" w:eastAsia="仿宋_GB2312" w:cs="Times New Roman"/>
                <w:b/>
                <w:bCs/>
                <w:kern w:val="0"/>
                <w:sz w:val="21"/>
                <w:szCs w:val="21"/>
                <w:shd w:val="clear" w:color="auto" w:fill="FFFFFF"/>
              </w:rPr>
              <w:t>小镇建设项目。</w:t>
            </w:r>
            <w:r>
              <w:rPr>
                <w:rFonts w:hint="default" w:ascii="Times New Roman" w:hAnsi="Times New Roman" w:eastAsia="仿宋_GB2312" w:cs="Times New Roman"/>
                <w:kern w:val="0"/>
                <w:sz w:val="21"/>
                <w:szCs w:val="21"/>
                <w:shd w:val="clear" w:color="auto" w:fill="FFFFFF"/>
              </w:rPr>
              <w:t>利用</w:t>
            </w:r>
            <w:r>
              <w:rPr>
                <w:rFonts w:hint="default" w:ascii="Times New Roman" w:hAnsi="Times New Roman" w:eastAsia="仿宋_GB2312" w:cs="Times New Roman"/>
                <w:kern w:val="0"/>
                <w:sz w:val="21"/>
                <w:szCs w:val="21"/>
                <w:shd w:val="clear" w:color="auto" w:fill="FFFFFF"/>
                <w:lang w:eastAsia="zh-CN"/>
              </w:rPr>
              <w:t>吉林省</w:t>
            </w:r>
            <w:r>
              <w:rPr>
                <w:rFonts w:hint="default" w:ascii="Times New Roman" w:hAnsi="Times New Roman" w:eastAsia="仿宋_GB2312" w:cs="Times New Roman"/>
                <w:kern w:val="0"/>
                <w:sz w:val="21"/>
                <w:szCs w:val="21"/>
                <w:shd w:val="clear" w:color="auto" w:fill="FFFFFF"/>
              </w:rPr>
              <w:t>蛟河林业实验区管理局森林景观旅游资源，结合森林康养旅游产业，打造康养旅居产品，建设休闲度假等项目。</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吉林白石山国家森林公园建设项目。</w:t>
            </w:r>
            <w:r>
              <w:rPr>
                <w:rFonts w:hint="default" w:ascii="Times New Roman" w:hAnsi="Times New Roman" w:eastAsia="仿宋_GB2312" w:cs="Times New Roman"/>
                <w:b w:val="0"/>
                <w:bCs w:val="0"/>
                <w:kern w:val="0"/>
                <w:sz w:val="21"/>
                <w:szCs w:val="21"/>
                <w:shd w:val="clear" w:color="auto" w:fill="FFFFFF"/>
                <w:lang w:eastAsia="zh-CN"/>
              </w:rPr>
              <w:t>借助</w:t>
            </w:r>
            <w:r>
              <w:rPr>
                <w:rFonts w:hint="default" w:ascii="Times New Roman" w:hAnsi="Times New Roman" w:eastAsia="仿宋_GB2312" w:cs="Times New Roman"/>
                <w:b w:val="0"/>
                <w:bCs w:val="0"/>
                <w:kern w:val="0"/>
                <w:sz w:val="21"/>
                <w:szCs w:val="21"/>
                <w:shd w:val="clear" w:color="auto" w:fill="FFFFFF"/>
              </w:rPr>
              <w:t>吉林</w:t>
            </w:r>
            <w:r>
              <w:rPr>
                <w:rFonts w:hint="default" w:ascii="Times New Roman" w:hAnsi="Times New Roman" w:eastAsia="仿宋_GB2312" w:cs="Times New Roman"/>
                <w:kern w:val="0"/>
                <w:sz w:val="21"/>
                <w:szCs w:val="21"/>
                <w:shd w:val="clear" w:color="auto" w:fill="FFFFFF"/>
              </w:rPr>
              <w:t>蛟河抽水蓄能电站储水大坝建设，工业旅游与森林旅游相结合的独特景观</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将吉林白石山森林公园建设成集滨水、民宿、酒店为一体的综合旅游度假小镇</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集自然景观独特、服务设施先进、地域文化浓郁、滑雪休闲度假于一体的中国北方滑雪主题休闲度假小镇。</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红叶岭国家森林公园开发项目。</w:t>
            </w:r>
            <w:r>
              <w:rPr>
                <w:rFonts w:hint="default" w:ascii="Times New Roman" w:hAnsi="Times New Roman" w:eastAsia="仿宋_GB2312" w:cs="Times New Roman"/>
                <w:b w:val="0"/>
                <w:bCs w:val="0"/>
                <w:kern w:val="0"/>
                <w:sz w:val="21"/>
                <w:szCs w:val="21"/>
                <w:shd w:val="clear" w:color="auto" w:fill="FFFFFF"/>
                <w:lang w:eastAsia="zh-CN"/>
              </w:rPr>
              <w:t>重点建设</w:t>
            </w:r>
            <w:r>
              <w:rPr>
                <w:rFonts w:hint="default" w:ascii="Times New Roman" w:hAnsi="Times New Roman" w:eastAsia="仿宋_GB2312" w:cs="Times New Roman"/>
                <w:b w:val="0"/>
                <w:bCs w:val="0"/>
                <w:kern w:val="0"/>
                <w:sz w:val="21"/>
                <w:szCs w:val="21"/>
                <w:shd w:val="clear" w:color="auto" w:fill="FFFFFF"/>
              </w:rPr>
              <w:t>辽</w:t>
            </w:r>
            <w:r>
              <w:rPr>
                <w:rFonts w:hint="default" w:ascii="Times New Roman" w:hAnsi="Times New Roman" w:eastAsia="仿宋_GB2312" w:cs="Times New Roman"/>
                <w:kern w:val="0"/>
                <w:sz w:val="21"/>
                <w:szCs w:val="21"/>
                <w:shd w:val="clear" w:color="auto" w:fill="FFFFFF"/>
              </w:rPr>
              <w:t>金古城、古驿站（道）文化旅游区</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原始森林旅游区（高山驿站、瀑布、石海、红叶观赏、高山雾凇、丛林滑索）</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关东风情小镇（森林博物馆、商业街、特色民宿）</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禅修文化体验区（老子学院、圣佛寺）。</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吉林幽芳谷森林风景区项目：</w:t>
            </w:r>
            <w:r>
              <w:rPr>
                <w:rFonts w:hint="default" w:ascii="Times New Roman" w:hAnsi="Times New Roman" w:eastAsia="仿宋_GB2312" w:cs="Times New Roman"/>
                <w:kern w:val="0"/>
                <w:sz w:val="21"/>
                <w:szCs w:val="21"/>
                <w:shd w:val="clear" w:color="auto" w:fill="FFFFFF"/>
              </w:rPr>
              <w:t>新建接待中心、游客中心、亲水餐厅</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花海、滑雪场等观光游乐设施。</w:t>
            </w:r>
          </w:p>
        </w:tc>
      </w:tr>
    </w:tbl>
    <w:p>
      <w:pPr>
        <w:pStyle w:val="28"/>
        <w:pageBreakBefore w:val="0"/>
        <w:widowControl w:val="0"/>
        <w:kinsoku/>
        <w:wordWrap/>
        <w:overflowPunct/>
        <w:topLinePunct w:val="0"/>
        <w:autoSpaceDE/>
        <w:autoSpaceDN/>
        <w:bidi w:val="0"/>
        <w:adjustRightInd/>
        <w:snapToGrid/>
        <w:spacing w:before="0" w:after="0" w:line="560" w:lineRule="exact"/>
        <w:ind w:left="0" w:leftChars="0" w:firstLine="643" w:firstLineChars="200"/>
        <w:textAlignment w:val="auto"/>
        <w:rPr>
          <w:rFonts w:hint="default" w:ascii="Times New Roman" w:hAnsi="Times New Roman" w:eastAsia="仿宋_GB2312" w:cs="Times New Roman"/>
          <w:b/>
          <w:bCs/>
          <w:sz w:val="32"/>
          <w:szCs w:val="32"/>
        </w:rPr>
      </w:pPr>
    </w:p>
    <w:p>
      <w:pPr>
        <w:pStyle w:val="28"/>
        <w:pageBreakBefore w:val="0"/>
        <w:widowControl w:val="0"/>
        <w:kinsoku/>
        <w:wordWrap/>
        <w:overflowPunct/>
        <w:topLinePunct w:val="0"/>
        <w:autoSpaceDE/>
        <w:autoSpaceDN/>
        <w:bidi w:val="0"/>
        <w:adjustRightInd/>
        <w:snapToGrid/>
        <w:spacing w:before="0" w:after="0"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文化旅游。</w:t>
      </w:r>
      <w:r>
        <w:rPr>
          <w:rFonts w:hint="default" w:ascii="Times New Roman" w:hAnsi="Times New Roman" w:eastAsia="仿宋_GB2312" w:cs="Times New Roman"/>
          <w:sz w:val="32"/>
          <w:szCs w:val="32"/>
        </w:rPr>
        <w:t>挖掘辽金文化、佛教文化和禅修文化内涵，开发辽金古城、清茶馆、老子学院、圣佛寺、木帮文化部落，形成蛟河特色文化旅游精品。挖掘利用拉法、新站两地历史事件、历史建筑，开发拉新历史文化风情小镇项目。挖掘富江巴拉文化和古村落文化，打造巴拉文化园。</w:t>
      </w:r>
    </w:p>
    <w:p>
      <w:pPr>
        <w:pStyle w:val="28"/>
        <w:pageBreakBefore w:val="0"/>
        <w:widowControl w:val="0"/>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Times New Roman" w:hAnsi="Times New Roman" w:eastAsia="仿宋_GB2312" w:cs="Times New Roman"/>
          <w:sz w:val="32"/>
          <w:szCs w:val="32"/>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ind w:firstLine="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专栏8 文化旅游重</w:t>
            </w:r>
            <w:r>
              <w:rPr>
                <w:rFonts w:hint="default" w:ascii="Times New Roman" w:hAnsi="Times New Roman" w:eastAsia="仿宋_GB2312" w:cs="Times New Roman"/>
                <w:b/>
                <w:bCs/>
                <w:kern w:val="0"/>
                <w:sz w:val="21"/>
                <w:szCs w:val="21"/>
                <w:shd w:val="clear" w:color="auto" w:fill="FFFFFF"/>
                <w:lang w:eastAsia="zh-CN"/>
              </w:rPr>
              <w:t>点</w:t>
            </w:r>
            <w:r>
              <w:rPr>
                <w:rFonts w:hint="default" w:ascii="Times New Roman" w:hAnsi="Times New Roman" w:eastAsia="仿宋_GB2312" w:cs="Times New Roman"/>
                <w:b/>
                <w:bCs/>
                <w:kern w:val="0"/>
                <w:sz w:val="21"/>
                <w:szCs w:val="21"/>
                <w:shd w:val="clear" w:color="auto" w:fill="FFFFFF"/>
              </w:rPr>
              <w:t>项目</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蛟</w:t>
            </w:r>
            <w:r>
              <w:rPr>
                <w:rFonts w:hint="default" w:ascii="Times New Roman" w:hAnsi="Times New Roman" w:eastAsia="仿宋_GB2312" w:cs="Times New Roman"/>
                <w:b/>
                <w:bCs/>
                <w:kern w:val="0"/>
                <w:sz w:val="21"/>
                <w:szCs w:val="21"/>
                <w:shd w:val="clear" w:color="auto" w:fill="FFFFFF"/>
                <w:lang w:eastAsia="zh-CN"/>
              </w:rPr>
              <w:t>河</w:t>
            </w:r>
            <w:r>
              <w:rPr>
                <w:rFonts w:hint="default" w:ascii="Times New Roman" w:hAnsi="Times New Roman" w:eastAsia="仿宋_GB2312" w:cs="Times New Roman"/>
                <w:b/>
                <w:bCs/>
                <w:kern w:val="0"/>
                <w:sz w:val="21"/>
                <w:szCs w:val="21"/>
                <w:shd w:val="clear" w:color="auto" w:fill="FFFFFF"/>
              </w:rPr>
              <w:t>前进古城文化遗址公园建设</w:t>
            </w:r>
            <w:r>
              <w:rPr>
                <w:rFonts w:hint="default" w:ascii="Times New Roman" w:hAnsi="Times New Roman" w:eastAsia="仿宋_GB2312" w:cs="Times New Roman"/>
                <w:b/>
                <w:bCs/>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古城遗址修复、山体排水系统、服务中心建设等。</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lang w:eastAsia="zh-CN"/>
              </w:rPr>
              <w:t>推进项目。</w:t>
            </w:r>
            <w:r>
              <w:rPr>
                <w:rFonts w:hint="default" w:ascii="Times New Roman" w:hAnsi="Times New Roman" w:eastAsia="仿宋_GB2312" w:cs="Times New Roman"/>
                <w:kern w:val="0"/>
                <w:sz w:val="21"/>
                <w:szCs w:val="21"/>
                <w:shd w:val="clear" w:color="auto" w:fill="FFFFFF"/>
              </w:rPr>
              <w:t>新站谈判旧址修复保护、前进康养小镇建设等。</w:t>
            </w:r>
          </w:p>
        </w:tc>
      </w:tr>
    </w:tbl>
    <w:p>
      <w:pPr>
        <w:pageBreakBefore w:val="0"/>
        <w:widowControl w:val="0"/>
        <w:kinsoku/>
        <w:wordWrap/>
        <w:overflowPunct/>
        <w:topLinePunct w:val="0"/>
        <w:autoSpaceDE/>
        <w:autoSpaceDN/>
        <w:bidi w:val="0"/>
        <w:adjustRightInd/>
        <w:snapToGrid/>
        <w:spacing w:line="560" w:lineRule="exact"/>
        <w:ind w:left="0" w:firstLine="643"/>
        <w:textAlignment w:val="auto"/>
        <w:rPr>
          <w:rFonts w:hint="default" w:ascii="Times New Roman" w:hAnsi="Times New Roman" w:eastAsia="仿宋_GB2312" w:cs="Times New Roman"/>
          <w:b/>
          <w:bCs/>
          <w:sz w:val="32"/>
          <w:szCs w:val="32"/>
        </w:rPr>
      </w:pPr>
    </w:p>
    <w:p>
      <w:pPr>
        <w:pageBreakBefore w:val="0"/>
        <w:widowControl w:val="0"/>
        <w:kinsoku/>
        <w:wordWrap/>
        <w:overflowPunct/>
        <w:topLinePunct w:val="0"/>
        <w:autoSpaceDE/>
        <w:autoSpaceDN/>
        <w:bidi w:val="0"/>
        <w:adjustRightInd/>
        <w:snapToGrid/>
        <w:spacing w:line="560" w:lineRule="exact"/>
        <w:ind w:left="0" w:firstLine="643"/>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乡村旅游。</w:t>
      </w:r>
      <w:r>
        <w:rPr>
          <w:rFonts w:hint="default" w:ascii="Times New Roman" w:hAnsi="Times New Roman" w:eastAsia="仿宋_GB2312" w:cs="Times New Roman"/>
          <w:sz w:val="32"/>
          <w:szCs w:val="32"/>
        </w:rPr>
        <w:t>坚持一村一品、一村一特，重点开发建设金斗美丽乡村、双庙子、北国之村、祥颐田园综合体、富江花海、庆岭冰酒小镇、黄松甸休闲农业观光园区、庆岭鱼街等乡村旅游项目，形成休闲农业和乡村旅游示范区。利用乡村闲置小学房屋，实施乡村文化礼堂改造项目，丰富乡村文化生活。</w:t>
      </w:r>
    </w:p>
    <w:p>
      <w:pPr>
        <w:pStyle w:val="2"/>
        <w:rPr>
          <w:rFonts w:hint="default"/>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ind w:firstLine="422" w:firstLineChars="20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专栏9 乡村旅游重</w:t>
            </w:r>
            <w:r>
              <w:rPr>
                <w:rFonts w:hint="default" w:ascii="Times New Roman" w:hAnsi="Times New Roman" w:eastAsia="仿宋_GB2312" w:cs="Times New Roman"/>
                <w:b/>
                <w:bCs/>
                <w:kern w:val="0"/>
                <w:sz w:val="21"/>
                <w:szCs w:val="21"/>
                <w:shd w:val="clear" w:color="auto" w:fill="FFFFFF"/>
                <w:lang w:eastAsia="zh-CN"/>
              </w:rPr>
              <w:t>点</w:t>
            </w:r>
            <w:r>
              <w:rPr>
                <w:rFonts w:hint="default" w:ascii="Times New Roman" w:hAnsi="Times New Roman" w:eastAsia="仿宋_GB2312" w:cs="Times New Roman"/>
                <w:b/>
                <w:bCs/>
                <w:kern w:val="0"/>
                <w:sz w:val="21"/>
                <w:szCs w:val="21"/>
                <w:shd w:val="clear" w:color="auto" w:fill="FFFFFF"/>
              </w:rPr>
              <w:t>项目</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祥颐田园综合体建设项目</w:t>
            </w:r>
            <w:r>
              <w:rPr>
                <w:rFonts w:hint="default" w:ascii="Times New Roman" w:hAnsi="Times New Roman" w:eastAsia="仿宋_GB2312" w:cs="Times New Roman"/>
                <w:b/>
                <w:bCs/>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观光农业旅游、医疗健康养生度假等园区建设，</w:t>
            </w:r>
            <w:r>
              <w:rPr>
                <w:rFonts w:hint="default" w:ascii="Times New Roman" w:hAnsi="Times New Roman" w:eastAsia="仿宋_GB2312" w:cs="Times New Roman"/>
                <w:kern w:val="0"/>
                <w:sz w:val="21"/>
                <w:szCs w:val="21"/>
                <w:shd w:val="clear" w:color="auto" w:fill="FFFFFF"/>
                <w:lang w:eastAsia="zh-CN"/>
              </w:rPr>
              <w:t>生产</w:t>
            </w:r>
            <w:r>
              <w:rPr>
                <w:rFonts w:hint="default" w:ascii="Times New Roman" w:hAnsi="Times New Roman" w:eastAsia="仿宋_GB2312" w:cs="Times New Roman"/>
                <w:kern w:val="0"/>
                <w:sz w:val="21"/>
                <w:szCs w:val="21"/>
                <w:shd w:val="clear" w:color="auto" w:fill="FFFFFF"/>
              </w:rPr>
              <w:t>山野菜、松花湖鱼罐头等特色食品，打造集“旅游观光、养生度假、科普研学”为一体的现代农业示范区和乡村旅游目的地。</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金斗乡村旅游项目</w:t>
            </w:r>
            <w:r>
              <w:rPr>
                <w:rFonts w:hint="default" w:ascii="Times New Roman" w:hAnsi="Times New Roman" w:eastAsia="仿宋_GB2312" w:cs="Times New Roman"/>
                <w:b/>
                <w:bCs/>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建设冬季滑雪场、特色餐饮等，打造集民宿、餐饮娱乐为一体的乡村旅游。</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北国之村田园综合体建设项目</w:t>
            </w:r>
            <w:r>
              <w:rPr>
                <w:rFonts w:hint="default" w:ascii="Times New Roman" w:hAnsi="Times New Roman" w:eastAsia="仿宋_GB2312" w:cs="Times New Roman"/>
                <w:b/>
                <w:bCs/>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主要建设特色民宿、阳光大棚、水上娱乐、房车营地、康养区、农村历史博物馆等。</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庆岭新型田园综合体</w:t>
            </w:r>
            <w:r>
              <w:rPr>
                <w:rFonts w:hint="default" w:ascii="Times New Roman" w:hAnsi="Times New Roman" w:eastAsia="仿宋_GB2312" w:cs="Times New Roman"/>
                <w:b/>
                <w:bCs/>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改造解放村、插树岭村以及庆岭活鱼街，建设红色旅游、满族巴拉文化、航天无人机培训、雪乡建设等四大板块。</w:t>
            </w:r>
          </w:p>
        </w:tc>
      </w:tr>
    </w:tbl>
    <w:p>
      <w:pPr>
        <w:pageBreakBefore w:val="0"/>
        <w:widowControl w:val="0"/>
        <w:kinsoku/>
        <w:wordWrap/>
        <w:overflowPunct/>
        <w:topLinePunct w:val="0"/>
        <w:autoSpaceDE/>
        <w:autoSpaceDN/>
        <w:bidi w:val="0"/>
        <w:adjustRightInd/>
        <w:snapToGrid/>
        <w:spacing w:line="560" w:lineRule="exact"/>
        <w:ind w:left="0" w:firstLine="683"/>
        <w:textAlignment w:val="auto"/>
        <w:rPr>
          <w:rFonts w:hint="default" w:ascii="Times New Roman" w:hAnsi="Times New Roman" w:eastAsia="仿宋_GB2312" w:cs="Times New Roman"/>
          <w:b/>
          <w:bCs/>
          <w:sz w:val="32"/>
          <w:szCs w:val="32"/>
        </w:rPr>
      </w:pPr>
    </w:p>
    <w:p>
      <w:pPr>
        <w:pageBreakBefore w:val="0"/>
        <w:widowControl w:val="0"/>
        <w:kinsoku/>
        <w:wordWrap/>
        <w:overflowPunct/>
        <w:topLinePunct w:val="0"/>
        <w:autoSpaceDE/>
        <w:autoSpaceDN/>
        <w:bidi w:val="0"/>
        <w:adjustRightInd/>
        <w:snapToGrid/>
        <w:spacing w:line="560" w:lineRule="exact"/>
        <w:ind w:left="0" w:firstLine="683"/>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休闲度假游。</w:t>
      </w:r>
      <w:r>
        <w:rPr>
          <w:rFonts w:hint="default" w:ascii="Times New Roman" w:hAnsi="Times New Roman" w:eastAsia="仿宋_GB2312" w:cs="Times New Roman"/>
          <w:sz w:val="32"/>
          <w:szCs w:val="32"/>
        </w:rPr>
        <w:t>以金蟾岛、额赫岛、苏尔哈湖湾、滨湖路、海浪旅游区为依托，以水上娱乐、关东雪庄、沿湖渔家村落、环湖慢行系统、环湖马拉松赛道等项目为重点，以“湖上明珠·度假天堂”为旅游形象，对接吉林市松花湖段，打造东北地区休闲度假旅游目的地。</w:t>
      </w:r>
    </w:p>
    <w:p>
      <w:pPr>
        <w:pStyle w:val="2"/>
        <w:rPr>
          <w:rFonts w:hint="default"/>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tcPr>
          <w:p>
            <w:pPr>
              <w:ind w:firstLine="422" w:firstLineChars="20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专栏10 休闲度假游重</w:t>
            </w:r>
            <w:r>
              <w:rPr>
                <w:rFonts w:hint="default" w:ascii="Times New Roman" w:hAnsi="Times New Roman" w:eastAsia="仿宋_GB2312" w:cs="Times New Roman"/>
                <w:b/>
                <w:bCs/>
                <w:kern w:val="0"/>
                <w:sz w:val="21"/>
                <w:szCs w:val="21"/>
                <w:shd w:val="clear" w:color="auto" w:fill="FFFFFF"/>
                <w:lang w:eastAsia="zh-CN"/>
              </w:rPr>
              <w:t>点</w:t>
            </w:r>
            <w:r>
              <w:rPr>
                <w:rFonts w:hint="default" w:ascii="Times New Roman" w:hAnsi="Times New Roman" w:eastAsia="仿宋_GB2312" w:cs="Times New Roman"/>
                <w:b/>
                <w:bCs/>
                <w:kern w:val="0"/>
                <w:sz w:val="21"/>
                <w:szCs w:val="21"/>
                <w:shd w:val="clear" w:color="auto" w:fill="FFFFFF"/>
              </w:rPr>
              <w:t>项目</w:t>
            </w:r>
          </w:p>
          <w:p>
            <w:pPr>
              <w:spacing w:line="240" w:lineRule="auto"/>
              <w:ind w:firstLine="422" w:firstLineChars="200"/>
              <w:jc w:val="left"/>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足球小镇体育项目。</w:t>
            </w:r>
            <w:r>
              <w:rPr>
                <w:rFonts w:hint="default" w:ascii="Times New Roman" w:hAnsi="Times New Roman" w:eastAsia="仿宋_GB2312" w:cs="Times New Roman"/>
                <w:kern w:val="0"/>
                <w:sz w:val="21"/>
                <w:szCs w:val="21"/>
                <w:shd w:val="clear" w:color="auto" w:fill="FFFFFF"/>
              </w:rPr>
              <w:t>拟建于蛟河东山，主要建设标准足球场地、足球文化馆、足球培训馆和体育用品商店等。</w:t>
            </w:r>
          </w:p>
          <w:p>
            <w:pPr>
              <w:spacing w:line="240" w:lineRule="auto"/>
              <w:ind w:firstLine="422" w:firstLineChars="200"/>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蛟河市庆岭镇滨湖自然风景区。</w:t>
            </w:r>
            <w:r>
              <w:rPr>
                <w:rFonts w:hint="default" w:ascii="Times New Roman" w:hAnsi="Times New Roman" w:eastAsia="仿宋_GB2312" w:cs="Times New Roman"/>
                <w:kern w:val="0"/>
                <w:sz w:val="21"/>
                <w:szCs w:val="21"/>
                <w:shd w:val="clear" w:color="auto" w:fill="FFFFFF"/>
              </w:rPr>
              <w:t>建设接待中心、游客中心等建筑，配套建设生态停车场以及相关附属设施。</w:t>
            </w:r>
          </w:p>
          <w:p>
            <w:pPr>
              <w:pStyle w:val="28"/>
              <w:spacing w:before="0" w:after="0" w:line="240" w:lineRule="auto"/>
              <w:ind w:firstLine="422"/>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庆岭冰酒小镇项目。</w:t>
            </w:r>
            <w:r>
              <w:rPr>
                <w:rFonts w:hint="default" w:ascii="Times New Roman" w:hAnsi="Times New Roman" w:eastAsia="仿宋_GB2312" w:cs="Times New Roman"/>
                <w:kern w:val="0"/>
                <w:sz w:val="21"/>
                <w:szCs w:val="21"/>
                <w:shd w:val="clear" w:color="auto" w:fill="FFFFFF"/>
              </w:rPr>
              <w:t>建设酒庄、冰酒博物馆、特色景观园、葡萄采摘园、冰酒展示中心等以及游客接待服务中心、停车场等设施。</w:t>
            </w:r>
          </w:p>
          <w:p>
            <w:pPr>
              <w:pStyle w:val="28"/>
              <w:spacing w:before="0" w:after="0" w:line="240" w:lineRule="auto"/>
              <w:ind w:firstLine="422"/>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庆岭休闲山庄建设。</w:t>
            </w:r>
            <w:r>
              <w:rPr>
                <w:rFonts w:hint="default" w:ascii="Times New Roman" w:hAnsi="Times New Roman" w:eastAsia="仿宋_GB2312" w:cs="Times New Roman"/>
                <w:kern w:val="0"/>
                <w:sz w:val="21"/>
                <w:szCs w:val="21"/>
                <w:shd w:val="clear" w:color="auto" w:fill="FFFFFF"/>
              </w:rPr>
              <w:t>打造虎脸瀑布景区人文景观、枫叶沟花海</w:t>
            </w:r>
            <w:r>
              <w:rPr>
                <w:rFonts w:hint="default" w:ascii="Times New Roman" w:hAnsi="Times New Roman" w:eastAsia="仿宋_GB2312" w:cs="Times New Roman"/>
                <w:kern w:val="0"/>
                <w:sz w:val="21"/>
                <w:szCs w:val="21"/>
                <w:shd w:val="clear" w:color="auto" w:fill="FFFFFF"/>
                <w:lang w:eastAsia="zh-CN"/>
              </w:rPr>
              <w:t>，</w:t>
            </w:r>
            <w:r>
              <w:rPr>
                <w:rFonts w:hint="default" w:ascii="Times New Roman" w:hAnsi="Times New Roman" w:eastAsia="仿宋_GB2312" w:cs="Times New Roman"/>
                <w:kern w:val="0"/>
                <w:sz w:val="21"/>
                <w:szCs w:val="21"/>
                <w:shd w:val="clear" w:color="auto" w:fill="FFFFFF"/>
              </w:rPr>
              <w:t>建设特色民宿</w:t>
            </w:r>
            <w:r>
              <w:rPr>
                <w:rFonts w:hint="default" w:ascii="Times New Roman" w:hAnsi="Times New Roman" w:eastAsia="仿宋_GB2312" w:cs="Times New Roman"/>
                <w:kern w:val="0"/>
                <w:sz w:val="21"/>
                <w:szCs w:val="21"/>
                <w:shd w:val="clear" w:color="auto" w:fill="FFFFFF"/>
                <w:lang w:eastAsia="zh-CN"/>
              </w:rPr>
              <w:t>等</w:t>
            </w:r>
            <w:r>
              <w:rPr>
                <w:rFonts w:hint="default" w:ascii="Times New Roman" w:hAnsi="Times New Roman" w:eastAsia="仿宋_GB2312" w:cs="Times New Roman"/>
                <w:kern w:val="0"/>
                <w:sz w:val="21"/>
                <w:szCs w:val="21"/>
                <w:shd w:val="clear" w:color="auto" w:fill="FFFFFF"/>
              </w:rPr>
              <w:t>。</w:t>
            </w:r>
          </w:p>
          <w:p>
            <w:pPr>
              <w:pStyle w:val="28"/>
              <w:spacing w:before="0" w:after="0" w:line="240" w:lineRule="auto"/>
              <w:ind w:firstLine="422"/>
              <w:jc w:val="left"/>
              <w:rPr>
                <w:rFonts w:hint="default" w:ascii="Times New Roman" w:hAnsi="Times New Roman" w:eastAsia="仿宋_GB2312" w:cs="Times New Roman"/>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城区旅游综合开发项目。</w:t>
            </w:r>
            <w:r>
              <w:rPr>
                <w:rFonts w:hint="default" w:ascii="Times New Roman" w:hAnsi="Times New Roman" w:eastAsia="仿宋_GB2312" w:cs="Times New Roman"/>
                <w:kern w:val="0"/>
                <w:sz w:val="21"/>
                <w:szCs w:val="21"/>
                <w:shd w:val="clear" w:color="auto" w:fill="FFFFFF"/>
              </w:rPr>
              <w:t>重点建设主题公园、两河休闲观光带、旅游特色街区等休闲项目。</w:t>
            </w:r>
          </w:p>
        </w:tc>
      </w:tr>
    </w:tbl>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lang w:eastAsia="zh-CN"/>
        </w:rPr>
      </w:pP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夯实全域旅游产业发展基础</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打造特色旅游经济板块。</w:t>
      </w:r>
      <w:r>
        <w:rPr>
          <w:rFonts w:hint="default" w:ascii="Times New Roman" w:hAnsi="Times New Roman" w:eastAsia="仿宋_GB2312" w:cs="Times New Roman"/>
          <w:sz w:val="32"/>
          <w:szCs w:val="32"/>
        </w:rPr>
        <w:t>依托长吉图交通轴线，打造特色鲜明的区域旅游集聚带。以松花湖、新站镇、前进乡为依托，全力建设冰雪娱乐旅游区；以前进</w:t>
      </w:r>
      <w:r>
        <w:rPr>
          <w:rFonts w:hint="default" w:ascii="Times New Roman" w:hAnsi="Times New Roman" w:eastAsia="仿宋_GB2312" w:cs="Times New Roman"/>
          <w:sz w:val="32"/>
          <w:szCs w:val="32"/>
          <w:lang w:eastAsia="zh-CN"/>
        </w:rPr>
        <w:t>实验中心</w:t>
      </w:r>
      <w:r>
        <w:rPr>
          <w:rFonts w:hint="default" w:ascii="Times New Roman" w:hAnsi="Times New Roman" w:eastAsia="仿宋_GB2312" w:cs="Times New Roman"/>
          <w:sz w:val="32"/>
          <w:szCs w:val="32"/>
        </w:rPr>
        <w:t>、拉法山、蛟河</w:t>
      </w:r>
      <w:r>
        <w:rPr>
          <w:rFonts w:hint="default" w:ascii="Times New Roman" w:hAnsi="Times New Roman" w:eastAsia="仿宋_GB2312" w:cs="Times New Roman"/>
          <w:sz w:val="32"/>
          <w:szCs w:val="32"/>
          <w:lang w:eastAsia="zh-CN"/>
        </w:rPr>
        <w:t>经济开发区</w:t>
      </w:r>
      <w:r>
        <w:rPr>
          <w:rFonts w:hint="default" w:ascii="Times New Roman" w:hAnsi="Times New Roman" w:eastAsia="仿宋_GB2312" w:cs="Times New Roman"/>
          <w:sz w:val="32"/>
          <w:szCs w:val="32"/>
        </w:rPr>
        <w:t>为依托，全力建设康体养生旅游区；以大红叶谷（包括红叶谷、老爷岭、庆岭景区）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红叶岭</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白石山国家森林公园为依托，全力建设森林生态旅游区；以金蟾岛、额赫岛、苏尔哈湖湾、滨湖路、海浪旅游区为依托，全力建设休闲度假旅游区；以红叶岭国家森林公园为依托，全力建设文化体验旅游区。</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完善旅游基础设施和配套服务设施建设。</w:t>
      </w:r>
      <w:r>
        <w:rPr>
          <w:rFonts w:hint="default" w:ascii="Times New Roman" w:hAnsi="Times New Roman" w:eastAsia="仿宋_GB2312" w:cs="Times New Roman"/>
          <w:sz w:val="32"/>
          <w:szCs w:val="32"/>
        </w:rPr>
        <w:t>旅游景区加大道路、厕所、游客服务中心、停车场、旅游标识等基础设施和配套服务设施建设，开发新的旅游项目和景点，新建电子门票、景区监控、信息传递等智慧旅游设施，实现景区移动信号全覆盖。到2025年，力争拉法山国家森林公园升级为国家5A景区，红叶岭国家森林公园升级为国家4A景区。</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积极推进工业旅游和乡村旅游晋档升级。</w:t>
      </w:r>
      <w:r>
        <w:rPr>
          <w:rFonts w:hint="default" w:ascii="Times New Roman" w:hAnsi="Times New Roman" w:eastAsia="仿宋_GB2312" w:cs="Times New Roman"/>
          <w:sz w:val="32"/>
          <w:szCs w:val="32"/>
        </w:rPr>
        <w:t>到2025年，长白山酒业进入国家级工业旅游示范点，松花湖酒业等3家进入省级工业旅游示范点。</w:t>
      </w:r>
      <w:r>
        <w:rPr>
          <w:rFonts w:hint="default" w:ascii="Times New Roman" w:hAnsi="Times New Roman" w:eastAsia="仿宋_GB2312" w:cs="Times New Roman"/>
          <w:sz w:val="32"/>
          <w:szCs w:val="32"/>
          <w:lang w:eastAsia="zh-CN"/>
        </w:rPr>
        <w:t>庆岭</w:t>
      </w:r>
      <w:r>
        <w:rPr>
          <w:rFonts w:hint="default" w:ascii="Times New Roman" w:hAnsi="Times New Roman" w:eastAsia="仿宋_GB2312" w:cs="Times New Roman"/>
          <w:sz w:val="32"/>
          <w:szCs w:val="32"/>
        </w:rPr>
        <w:t>冰酒小镇、祥颐田园综合体进入省5A级乡村旅游经营单位，北国之春、苏尔哈湖湾、爱林度假渔港等5家旅游企业进入省4A级乡村旅游经营单位。</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努力提升旅游服务品质。</w:t>
      </w:r>
      <w:r>
        <w:rPr>
          <w:rFonts w:hint="default" w:ascii="Times New Roman" w:hAnsi="Times New Roman" w:eastAsia="仿宋_GB2312" w:cs="Times New Roman"/>
          <w:sz w:val="32"/>
          <w:szCs w:val="32"/>
        </w:rPr>
        <w:t>鼓励旅行社提高服务品质、开发特色产品，走集约化、网络化道路，支持旅游景区、星级饭店等旅游企业及涉旅企业开办旅行社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 xml:space="preserve">到2025年，旅行社及分支机构发展到25家。   </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旅游住宿突出特色和精品。</w:t>
      </w:r>
      <w:r>
        <w:rPr>
          <w:rFonts w:hint="default" w:ascii="Times New Roman" w:hAnsi="Times New Roman" w:eastAsia="仿宋_GB2312" w:cs="Times New Roman"/>
          <w:sz w:val="32"/>
          <w:szCs w:val="32"/>
        </w:rPr>
        <w:t>星级宾馆控制总量打造品牌，社会旅馆适度发展体现特色，支持和鼓励民宿、营地等主题住宿设施发展。到2025年，四星级以上宾馆发展到3家，特色旅游酒店发展到30家，主题民宿、营地发展到20个。</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旅游商品开发突出文化内涵和蛟河特色。</w:t>
      </w:r>
      <w:r>
        <w:rPr>
          <w:rFonts w:hint="default" w:ascii="Times New Roman" w:hAnsi="Times New Roman" w:eastAsia="仿宋_GB2312" w:cs="Times New Roman"/>
          <w:sz w:val="32"/>
          <w:szCs w:val="32"/>
        </w:rPr>
        <w:t>积极扶持旅游商品生产、销售企业，打造黄松甸黑木耳、长白山葡萄酒、漂河烟、林蛙油保健品等知名品牌，适度开发文创旅游商品。通过</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互联网+旅游商品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，创新营销模式，建立销售网络，扩大销售市场。到2025年，购物占旅游消费的比例达到25%以上。</w:t>
      </w: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left="-420" w:leftChars="0" w:firstLine="960" w:firstLineChars="3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打造全国高知名度旅游品牌</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强化旅游市场营销。</w:t>
      </w:r>
      <w:r>
        <w:rPr>
          <w:rFonts w:hint="default" w:ascii="Times New Roman" w:hAnsi="Times New Roman" w:eastAsia="仿宋_GB2312" w:cs="Times New Roman"/>
          <w:sz w:val="32"/>
          <w:szCs w:val="32"/>
        </w:rPr>
        <w:t>借助吉林省“一主六双”和双线旅游发展契机，在更高层次、更大平台上做好旅游产品宣传营销，把具有蛟河特色的文化遗产、红叶奇观、古城风情、休闲乡村、中医养生等融入全国旅游产品体系中，提升蛟河旅游产品的市场影响力。</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创新旅游宣传营销形式。</w:t>
      </w:r>
      <w:r>
        <w:rPr>
          <w:rStyle w:val="56"/>
          <w:rFonts w:hint="default" w:ascii="Times New Roman" w:hAnsi="Times New Roman" w:eastAsia="仿宋_GB2312" w:cs="Times New Roman"/>
          <w:sz w:val="32"/>
          <w:szCs w:val="32"/>
        </w:rPr>
        <w:t>构建“区域联动、资源共享、优势互补”的联合促销体系，实施宣传营销创新计划，构建集新媒体营销、节事营销、植入营销、客源地营销、机会营销于一体的旅游宣传营销体系，充分利用现代宣传媒介进行宣传。依托长吉图交通轴线，全面融入大长白山旅游圈、长吉都市旅游圈、松花湖区域旅游圈，建设全国知名</w:t>
      </w:r>
      <w:r>
        <w:rPr>
          <w:rStyle w:val="56"/>
          <w:rFonts w:hint="default" w:ascii="Times New Roman" w:hAnsi="Times New Roman" w:eastAsia="仿宋_GB2312" w:cs="Times New Roman"/>
          <w:sz w:val="32"/>
          <w:szCs w:val="32"/>
          <w:lang w:eastAsia="zh-CN"/>
        </w:rPr>
        <w:t>的</w:t>
      </w:r>
      <w:r>
        <w:rPr>
          <w:rStyle w:val="56"/>
          <w:rFonts w:hint="default" w:ascii="Times New Roman" w:hAnsi="Times New Roman" w:eastAsia="仿宋_GB2312" w:cs="Times New Roman"/>
          <w:sz w:val="32"/>
          <w:szCs w:val="32"/>
        </w:rPr>
        <w:t>红叶观赏旅游目的地</w:t>
      </w:r>
      <w:r>
        <w:rPr>
          <w:rFonts w:hint="default" w:ascii="Times New Roman" w:hAnsi="Times New Roman" w:eastAsia="仿宋_GB2312" w:cs="Times New Roman"/>
          <w:sz w:val="32"/>
          <w:szCs w:val="32"/>
        </w:rPr>
        <w:t>。</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p>
    <w:p>
      <w:pPr>
        <w:pStyle w:val="5"/>
        <w:pageBreakBefore w:val="0"/>
        <w:widowControl w:val="0"/>
        <w:numPr>
          <w:ilvl w:val="0"/>
          <w:numId w:val="12"/>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88" w:name="_Toc9318"/>
      <w:r>
        <w:rPr>
          <w:rFonts w:hint="eastAsia" w:ascii="方正小标宋简体" w:hAnsi="方正小标宋简体" w:eastAsia="方正小标宋简体" w:cs="方正小标宋简体"/>
          <w:b w:val="0"/>
          <w:bCs w:val="0"/>
          <w:sz w:val="32"/>
          <w:szCs w:val="32"/>
        </w:rPr>
        <w:t>优化升级商贸服务业</w:t>
      </w:r>
      <w:bookmarkEnd w:id="87"/>
      <w:bookmarkEnd w:id="88"/>
    </w:p>
    <w:p>
      <w:pPr>
        <w:pageBreakBefore w:val="0"/>
        <w:widowControl w:val="0"/>
        <w:kinsoku/>
        <w:wordWrap/>
        <w:overflowPunct/>
        <w:topLinePunct w:val="0"/>
        <w:autoSpaceDE/>
        <w:autoSpaceDN/>
        <w:bidi w:val="0"/>
        <w:adjustRightInd/>
        <w:snapToGrid/>
        <w:spacing w:line="560" w:lineRule="exact"/>
        <w:textAlignment w:val="auto"/>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sz w:val="32"/>
          <w:szCs w:val="32"/>
          <w:lang w:val="zh-CN"/>
        </w:rPr>
        <w:t>积极推动商业新发展。</w:t>
      </w:r>
      <w:r>
        <w:rPr>
          <w:rFonts w:hint="default" w:ascii="Times New Roman" w:hAnsi="Times New Roman" w:eastAsia="仿宋_GB2312" w:cs="Times New Roman"/>
          <w:sz w:val="32"/>
          <w:szCs w:val="32"/>
        </w:rPr>
        <w:t>大力发展专业化市场，新改建食用菌、牲畜交易等农牧特色市场，推进大市场改造，引进再生资源回收、冷链物流、二手车交易市场等项目。培育打造商业聚集板块，加快推进吉林国贸、时代广场等商贸聚集圈建设；推动新天地购物中心、浩翔百货、百货大楼等传统百货商店向购物中心转型，打造集购物、观影、娱乐、健身和商务于一体的休闲服务新模式；引导草根儿、旺客隆等商超建设连锁店，服务区域覆盖全市居民。鼓励个体工商户转为法人企业，新增限上企业10</w:t>
      </w:r>
      <w:r>
        <w:rPr>
          <w:rFonts w:hint="default" w:ascii="Times New Roman" w:hAnsi="Times New Roman" w:eastAsia="仿宋_GB2312" w:cs="Times New Roman"/>
          <w:sz w:val="32"/>
          <w:szCs w:val="32"/>
          <w:lang w:eastAsia="zh-CN"/>
        </w:rPr>
        <w:t>家</w:t>
      </w:r>
      <w:r>
        <w:rPr>
          <w:rFonts w:hint="default" w:ascii="Times New Roman" w:hAnsi="Times New Roman" w:eastAsia="仿宋_GB2312" w:cs="Times New Roman"/>
          <w:sz w:val="32"/>
          <w:szCs w:val="32"/>
        </w:rPr>
        <w:t>。</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bCs/>
          <w:sz w:val="32"/>
          <w:szCs w:val="32"/>
        </w:rPr>
        <w:t>加快零售商业模式升级。</w:t>
      </w:r>
      <w:r>
        <w:rPr>
          <w:rFonts w:hint="default" w:ascii="Times New Roman" w:hAnsi="Times New Roman" w:eastAsia="仿宋_GB2312" w:cs="Times New Roman"/>
          <w:sz w:val="32"/>
          <w:szCs w:val="32"/>
        </w:rPr>
        <w:t>加强零售企业在便捷购物、丰富商品、</w:t>
      </w:r>
      <w:r>
        <w:rPr>
          <w:rFonts w:hint="default" w:ascii="Times New Roman" w:hAnsi="Times New Roman" w:eastAsia="仿宋_GB2312" w:cs="Times New Roman"/>
          <w:sz w:val="32"/>
          <w:szCs w:val="32"/>
          <w:lang w:eastAsia="zh-CN"/>
        </w:rPr>
        <w:t>加强</w:t>
      </w:r>
      <w:r>
        <w:rPr>
          <w:rFonts w:hint="default" w:ascii="Times New Roman" w:hAnsi="Times New Roman" w:eastAsia="仿宋_GB2312" w:cs="Times New Roman"/>
          <w:sz w:val="32"/>
          <w:szCs w:val="32"/>
        </w:rPr>
        <w:t>卫生安全和</w:t>
      </w:r>
      <w:r>
        <w:rPr>
          <w:rFonts w:hint="default" w:ascii="Times New Roman" w:hAnsi="Times New Roman" w:eastAsia="仿宋_GB2312" w:cs="Times New Roman"/>
          <w:sz w:val="32"/>
          <w:szCs w:val="32"/>
          <w:lang w:eastAsia="zh-CN"/>
        </w:rPr>
        <w:t>提高</w:t>
      </w:r>
      <w:r>
        <w:rPr>
          <w:rFonts w:hint="default" w:ascii="Times New Roman" w:hAnsi="Times New Roman" w:eastAsia="仿宋_GB2312" w:cs="Times New Roman"/>
          <w:sz w:val="32"/>
          <w:szCs w:val="32"/>
        </w:rPr>
        <w:t>商品服务品质等方面的保障力度，加快构建全渠道、数字化、敏捷供应链、体验性和服务化的新零售商业模式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满足人们对一站式服务、便捷式服务、高品质消费、在线购物等消费升级需求。</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加快完善现代物流业体系。</w:t>
      </w:r>
      <w:r>
        <w:rPr>
          <w:rFonts w:hint="default" w:ascii="Times New Roman" w:hAnsi="Times New Roman" w:eastAsia="仿宋_GB2312" w:cs="Times New Roman"/>
          <w:sz w:val="32"/>
          <w:szCs w:val="32"/>
        </w:rPr>
        <w:t>以点连线，以线串面，建立蛟河现代化物流体系，健全完善商品现代物流网络和农村消费品流通网络，培育新型物流业态。加大对冷链物流、配送设施、长白山特产品物流设施、多式联运转运设施的资金投入。</w:t>
      </w:r>
      <w:bookmarkStart w:id="89" w:name="_Hlk58862842"/>
      <w:r>
        <w:rPr>
          <w:rFonts w:hint="default" w:ascii="Times New Roman" w:hAnsi="Times New Roman" w:eastAsia="仿宋_GB2312" w:cs="Times New Roman"/>
          <w:sz w:val="32"/>
          <w:szCs w:val="32"/>
        </w:rPr>
        <w:t>积极培育本地物流企业，积极引进大型快递公司、货运公司，推动服务网点向各乡镇延伸，尽快形成现代物流服务体系。</w:t>
      </w:r>
      <w:bookmarkEnd w:id="89"/>
    </w:p>
    <w:p>
      <w:pPr>
        <w:pStyle w:val="2"/>
        <w:rPr>
          <w:rFonts w:hint="default"/>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9" w:hRule="atLeast"/>
          <w:jc w:val="center"/>
        </w:trPr>
        <w:tc>
          <w:tcPr>
            <w:tcW w:w="8200" w:type="dxa"/>
          </w:tcPr>
          <w:p>
            <w:pPr>
              <w:keepNext w:val="0"/>
              <w:keepLines w:val="0"/>
              <w:pageBreakBefore w:val="0"/>
              <w:widowControl w:val="0"/>
              <w:kinsoku/>
              <w:wordWrap/>
              <w:overflowPunct/>
              <w:topLinePunct w:val="0"/>
              <w:autoSpaceDE/>
              <w:autoSpaceDN/>
              <w:bidi w:val="0"/>
              <w:adjustRightInd/>
              <w:snapToGrid/>
              <w:spacing w:line="0" w:lineRule="atLeast"/>
              <w:ind w:left="0" w:firstLine="0"/>
              <w:jc w:val="center"/>
              <w:textAlignment w:val="auto"/>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专栏11  现代商贸服务业重点项目</w:t>
            </w:r>
          </w:p>
          <w:p>
            <w:pPr>
              <w:pStyle w:val="2"/>
              <w:rPr>
                <w:rFonts w:hint="default" w:ascii="Times New Roman" w:hAnsi="Times New Roman" w:eastAsia="仿宋_GB2312" w:cs="Times New Roman"/>
              </w:rPr>
            </w:pPr>
          </w:p>
          <w:p>
            <w:pPr>
              <w:keepNext w:val="0"/>
              <w:keepLines w:val="0"/>
              <w:pageBreakBefore w:val="0"/>
              <w:widowControl w:val="0"/>
              <w:kinsoku/>
              <w:wordWrap/>
              <w:overflowPunct/>
              <w:topLinePunct w:val="0"/>
              <w:autoSpaceDE/>
              <w:autoSpaceDN/>
              <w:bidi w:val="0"/>
              <w:adjustRightInd/>
              <w:snapToGrid/>
              <w:spacing w:line="0" w:lineRule="atLeast"/>
              <w:ind w:left="0" w:firstLine="422" w:firstLineChars="200"/>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b/>
                <w:kern w:val="0"/>
                <w:sz w:val="21"/>
                <w:szCs w:val="21"/>
              </w:rPr>
              <w:t>蛟河市农贸市场改造。</w:t>
            </w:r>
            <w:r>
              <w:rPr>
                <w:rFonts w:hint="default" w:ascii="Times New Roman" w:hAnsi="Times New Roman" w:eastAsia="仿宋_GB2312" w:cs="Times New Roman"/>
                <w:kern w:val="0"/>
                <w:sz w:val="21"/>
                <w:szCs w:val="21"/>
              </w:rPr>
              <w:t>对蛟河市大市场及周边进行整体升级改造，建成“布局合理、发展有序、商品质量良好、市场容貌整洁、市场交易兴旺、标准化”</w:t>
            </w:r>
            <w:r>
              <w:rPr>
                <w:rFonts w:hint="default" w:ascii="Times New Roman" w:hAnsi="Times New Roman" w:eastAsia="仿宋_GB2312" w:cs="Times New Roman"/>
                <w:kern w:val="0"/>
                <w:sz w:val="21"/>
                <w:szCs w:val="21"/>
                <w:lang w:eastAsia="zh-CN"/>
              </w:rPr>
              <w:t>的</w:t>
            </w:r>
            <w:r>
              <w:rPr>
                <w:rFonts w:hint="default" w:ascii="Times New Roman" w:hAnsi="Times New Roman" w:eastAsia="仿宋_GB2312" w:cs="Times New Roman"/>
                <w:kern w:val="0"/>
                <w:sz w:val="21"/>
                <w:szCs w:val="21"/>
              </w:rPr>
              <w:t>新型综合交易市场。</w:t>
            </w:r>
          </w:p>
          <w:p>
            <w:pPr>
              <w:keepNext w:val="0"/>
              <w:keepLines w:val="0"/>
              <w:pageBreakBefore w:val="0"/>
              <w:widowControl w:val="0"/>
              <w:kinsoku/>
              <w:wordWrap/>
              <w:overflowPunct/>
              <w:topLinePunct w:val="0"/>
              <w:autoSpaceDE/>
              <w:autoSpaceDN/>
              <w:bidi w:val="0"/>
              <w:adjustRightInd/>
              <w:snapToGrid/>
              <w:spacing w:line="0" w:lineRule="atLeast"/>
              <w:ind w:left="0" w:firstLine="422" w:firstLineChars="200"/>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b/>
                <w:kern w:val="0"/>
                <w:sz w:val="21"/>
                <w:szCs w:val="21"/>
              </w:rPr>
              <w:t>北部石材园区铁路物流项目。</w:t>
            </w:r>
            <w:r>
              <w:rPr>
                <w:rFonts w:hint="default" w:ascii="Times New Roman" w:hAnsi="Times New Roman" w:eastAsia="仿宋_GB2312" w:cs="Times New Roman"/>
                <w:kern w:val="0"/>
                <w:sz w:val="21"/>
                <w:szCs w:val="21"/>
              </w:rPr>
              <w:t>计划总投资3亿元，拟建于天岗园区，占地面积30万平方米，建设铁路运输物流园。</w:t>
            </w:r>
          </w:p>
          <w:p>
            <w:pPr>
              <w:keepNext w:val="0"/>
              <w:keepLines w:val="0"/>
              <w:pageBreakBefore w:val="0"/>
              <w:widowControl w:val="0"/>
              <w:kinsoku/>
              <w:wordWrap/>
              <w:overflowPunct/>
              <w:topLinePunct w:val="0"/>
              <w:autoSpaceDE/>
              <w:autoSpaceDN/>
              <w:bidi w:val="0"/>
              <w:adjustRightInd/>
              <w:snapToGrid/>
              <w:spacing w:line="0" w:lineRule="atLeast"/>
              <w:ind w:left="0" w:firstLine="422" w:firstLineChars="200"/>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b/>
                <w:kern w:val="0"/>
                <w:sz w:val="21"/>
                <w:szCs w:val="21"/>
              </w:rPr>
              <w:t>维也纳国际酒店建设。</w:t>
            </w:r>
            <w:r>
              <w:rPr>
                <w:rFonts w:hint="default" w:ascii="Times New Roman" w:hAnsi="Times New Roman" w:eastAsia="仿宋_GB2312" w:cs="Times New Roman"/>
                <w:kern w:val="0"/>
                <w:sz w:val="21"/>
                <w:szCs w:val="21"/>
              </w:rPr>
              <w:t>占地面积5.4万平方米，建设星级商务酒店。</w:t>
            </w:r>
          </w:p>
          <w:p>
            <w:pPr>
              <w:keepNext w:val="0"/>
              <w:keepLines w:val="0"/>
              <w:pageBreakBefore w:val="0"/>
              <w:widowControl w:val="0"/>
              <w:kinsoku/>
              <w:wordWrap/>
              <w:overflowPunct/>
              <w:topLinePunct w:val="0"/>
              <w:autoSpaceDE/>
              <w:autoSpaceDN/>
              <w:bidi w:val="0"/>
              <w:adjustRightInd/>
              <w:snapToGrid/>
              <w:spacing w:line="0" w:lineRule="atLeast"/>
              <w:ind w:left="0" w:firstLine="422"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21"/>
                <w:szCs w:val="21"/>
              </w:rPr>
              <w:t>航空产业园建设。</w:t>
            </w:r>
            <w:r>
              <w:rPr>
                <w:rFonts w:hint="default" w:ascii="Times New Roman" w:hAnsi="Times New Roman" w:eastAsia="仿宋_GB2312" w:cs="Times New Roman"/>
                <w:kern w:val="0"/>
                <w:sz w:val="21"/>
                <w:szCs w:val="21"/>
              </w:rPr>
              <w:t>规划投资60亿元，依照“两区三园”的设计理念建设航空产业园。</w:t>
            </w:r>
          </w:p>
        </w:tc>
      </w:tr>
    </w:tbl>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420" w:leftChars="0"/>
        <w:jc w:val="center"/>
        <w:textAlignment w:val="auto"/>
        <w:rPr>
          <w:rFonts w:hint="eastAsia" w:ascii="黑体" w:hAnsi="黑体" w:cs="黑体"/>
          <w:b w:val="0"/>
          <w:bCs w:val="0"/>
          <w:sz w:val="32"/>
          <w:szCs w:val="32"/>
          <w:lang w:val="zh-CN"/>
        </w:rPr>
      </w:pPr>
      <w:bookmarkStart w:id="90" w:name="_Toc25230"/>
      <w:bookmarkStart w:id="91" w:name="_Toc55314891"/>
    </w:p>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420" w:leftChars="0"/>
        <w:jc w:val="center"/>
        <w:textAlignment w:val="auto"/>
        <w:rPr>
          <w:rFonts w:hint="eastAsia" w:ascii="黑体" w:hAnsi="黑体" w:eastAsia="黑体" w:cs="黑体"/>
          <w:b w:val="0"/>
          <w:bCs w:val="0"/>
          <w:sz w:val="32"/>
          <w:szCs w:val="32"/>
          <w:lang w:val="zh-CN"/>
        </w:rPr>
      </w:pPr>
      <w:r>
        <w:rPr>
          <w:rFonts w:hint="eastAsia" w:ascii="黑体" w:hAnsi="黑体" w:cs="黑体"/>
          <w:b w:val="0"/>
          <w:bCs w:val="0"/>
          <w:sz w:val="32"/>
          <w:szCs w:val="32"/>
          <w:lang w:val="zh-CN"/>
        </w:rPr>
        <w:t>第三节</w:t>
      </w:r>
      <w:r>
        <w:rPr>
          <w:rFonts w:hint="eastAsia" w:ascii="黑体" w:hAnsi="黑体" w:cs="黑体"/>
          <w:b w:val="0"/>
          <w:bCs w:val="0"/>
          <w:sz w:val="32"/>
          <w:szCs w:val="32"/>
          <w:lang w:val="en-US" w:eastAsia="zh-CN"/>
        </w:rPr>
        <w:t xml:space="preserve"> </w:t>
      </w:r>
      <w:r>
        <w:rPr>
          <w:rFonts w:hint="eastAsia" w:ascii="黑体" w:hAnsi="黑体" w:eastAsia="黑体" w:cs="黑体"/>
          <w:b w:val="0"/>
          <w:bCs w:val="0"/>
          <w:sz w:val="32"/>
          <w:szCs w:val="32"/>
          <w:lang w:val="zh-CN"/>
        </w:rPr>
        <w:t>加快发展现代服务业</w:t>
      </w:r>
      <w:bookmarkEnd w:id="90"/>
      <w:bookmarkEnd w:id="91"/>
    </w:p>
    <w:p>
      <w:pPr>
        <w:rPr>
          <w:rFonts w:hint="default"/>
          <w:lang w:val="zh-CN"/>
        </w:rPr>
      </w:pP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bCs/>
          <w:sz w:val="32"/>
          <w:szCs w:val="32"/>
          <w:lang w:val="zh-CN"/>
        </w:rPr>
        <w:t>大力发展网络经济。</w:t>
      </w:r>
      <w:r>
        <w:rPr>
          <w:rFonts w:hint="default" w:ascii="Times New Roman" w:hAnsi="Times New Roman" w:eastAsia="仿宋_GB2312" w:cs="Times New Roman"/>
          <w:sz w:val="32"/>
          <w:szCs w:val="32"/>
          <w:lang w:val="zh-CN"/>
        </w:rPr>
        <w:t>深入推进电子商务进农村综合示范县工作，完善电商产业园功能，入驻园区企业达到100家，电商交易额实现1亿元，全面管理运营好200个村级服务站点，社区电子商务服务网点覆盖率达50%以上。依托众创空间，开展网红、网络直播等各类培训，孵化一批直播基地、网红小镇，全面促进消费升级换代。</w:t>
      </w:r>
    </w:p>
    <w:p>
      <w:pPr>
        <w:pStyle w:val="57"/>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全面发展夜间经济。</w:t>
      </w:r>
      <w:r>
        <w:rPr>
          <w:rFonts w:hint="default" w:ascii="Times New Roman" w:hAnsi="Times New Roman" w:eastAsia="仿宋_GB2312" w:cs="Times New Roman"/>
          <w:b w:val="0"/>
          <w:bCs/>
          <w:sz w:val="32"/>
          <w:szCs w:val="32"/>
          <w:lang w:eastAsia="zh-CN"/>
        </w:rPr>
        <w:t>积极</w:t>
      </w:r>
      <w:r>
        <w:rPr>
          <w:rFonts w:hint="default" w:ascii="Times New Roman" w:hAnsi="Times New Roman" w:eastAsia="仿宋_GB2312" w:cs="Times New Roman"/>
          <w:sz w:val="32"/>
          <w:szCs w:val="32"/>
          <w:lang w:val="zh-CN"/>
        </w:rPr>
        <w:t>发展夜间经济，激活市场活力。</w:t>
      </w:r>
      <w:r>
        <w:rPr>
          <w:rFonts w:hint="default" w:ascii="Times New Roman" w:hAnsi="Times New Roman" w:eastAsia="仿宋_GB2312" w:cs="Times New Roman"/>
          <w:sz w:val="32"/>
          <w:szCs w:val="32"/>
        </w:rPr>
        <w:t>在实现占道经营规范有序、市容环境干净整洁、市民生活方便快捷、城市消费更加活跃、市井气息更加浓厚有机统一的基础上，合理释放夜间经济活力，并通过提升夜间经济IP品牌、培育夜间经济主题街区、举办夜间经济特色活动、打造夜间经济文化品牌等措施，大力发展夜间经济，促进消费转型升级，增加就业岗位。</w:t>
      </w:r>
    </w:p>
    <w:p>
      <w:pPr>
        <w:pStyle w:val="57"/>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sz w:val="32"/>
          <w:szCs w:val="32"/>
        </w:rPr>
        <w:t>推动家政服务业新发展。</w:t>
      </w:r>
      <w:r>
        <w:rPr>
          <w:rFonts w:hint="default" w:ascii="Times New Roman" w:hAnsi="Times New Roman" w:eastAsia="仿宋_GB2312" w:cs="Times New Roman"/>
          <w:sz w:val="32"/>
          <w:szCs w:val="32"/>
          <w:lang w:val="zh-CN"/>
        </w:rPr>
        <w:t>以满足居民家庭生活需求为目标，建立健全社区服务网络，围绕居住医养服务，加速新型社区建设，打造“互联网+智慧社区”，推动公共服务智能化。构建完备的家政服务体系，不断推动社区发展，吸引外地家政服务品牌入驻，培育本地商户自创品牌，组织发展行业协会。</w:t>
      </w:r>
    </w:p>
    <w:p>
      <w:pPr>
        <w:pStyle w:val="57"/>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加快发展智慧健康养老应用服务。</w:t>
      </w:r>
      <w:r>
        <w:rPr>
          <w:rFonts w:hint="default" w:ascii="Times New Roman" w:hAnsi="Times New Roman" w:eastAsia="仿宋_GB2312" w:cs="Times New Roman"/>
          <w:sz w:val="32"/>
          <w:szCs w:val="32"/>
        </w:rPr>
        <w:t>充分发挥蛟河生态资源优势，不断整合全市养老资源，推动医疗、养老与信息等产业融合发展。积极推进全市养老院智慧化建设，加快建设一批“智慧养老基地”，积极培育智慧健康养老产品及服务，提升社区智慧养老水平。</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加快信息服务产业发展。</w:t>
      </w:r>
      <w:r>
        <w:rPr>
          <w:rFonts w:hint="default" w:ascii="Times New Roman" w:hAnsi="Times New Roman" w:eastAsia="仿宋_GB2312" w:cs="Times New Roman"/>
          <w:sz w:val="32"/>
          <w:szCs w:val="32"/>
        </w:rPr>
        <w:t>推进智慧城市、智慧社区、智慧乡村建设，围绕设施农业、规模化养殖、公共安全等领域，推广互联网应用，健全电子政务网络，推广全流程审批系统应用，推动政府数据资源开放共享。</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加快数字经济发展。</w:t>
      </w:r>
      <w:r>
        <w:rPr>
          <w:rFonts w:hint="default" w:ascii="Times New Roman" w:hAnsi="Times New Roman" w:eastAsia="仿宋_GB2312" w:cs="Times New Roman"/>
          <w:sz w:val="32"/>
          <w:szCs w:val="32"/>
        </w:rPr>
        <w:t>加快推进数字产业化，推动大数据、云计算、物联网、人工智能等新兴产业前沿技术研发应用，推动数字乡村试点建设，推动农业生产智能化、经营网络化，加快智慧城市建设步伐。加快国家级和省级大数据产业发展试点示范项目建设，引导大数据融合应用产品创新、服务创新、模式创新。全面提升政府数字化治理效能，建设数字化治理体系，建立统一平台，推进线上“一网通办”、线下“只进一扇门”，纵深推进实现“最多跑一次”的体制改革。以数字政府建设为先导，推动“数字蛟河”建设落地实施。</w:t>
      </w:r>
    </w:p>
    <w:p>
      <w:pPr>
        <w:pStyle w:val="55"/>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8297" w:type="dxa"/>
          </w:tcPr>
          <w:p>
            <w:pPr>
              <w:widowControl/>
              <w:spacing w:line="240" w:lineRule="auto"/>
              <w:ind w:firstLine="0"/>
              <w:jc w:val="center"/>
              <w:rPr>
                <w:rFonts w:hint="default" w:ascii="Times New Roman" w:hAnsi="Times New Roman" w:eastAsia="仿宋_GB2312" w:cs="Times New Roman"/>
                <w:b/>
                <w:bCs/>
                <w:kern w:val="0"/>
                <w:sz w:val="21"/>
                <w:szCs w:val="21"/>
                <w:shd w:val="clear" w:color="auto" w:fill="FFFFFF"/>
              </w:rPr>
            </w:pPr>
            <w:r>
              <w:rPr>
                <w:rFonts w:hint="default" w:ascii="Times New Roman" w:hAnsi="Times New Roman" w:eastAsia="仿宋_GB2312" w:cs="Times New Roman"/>
                <w:b/>
                <w:bCs/>
                <w:kern w:val="0"/>
                <w:sz w:val="21"/>
                <w:szCs w:val="21"/>
                <w:shd w:val="clear" w:color="auto" w:fill="FFFFFF"/>
              </w:rPr>
              <w:t>专栏12  康养服务业重点项目</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蛟河市凯隆健康护理院建设。</w:t>
            </w:r>
            <w:r>
              <w:rPr>
                <w:rFonts w:hint="default" w:ascii="Times New Roman" w:hAnsi="Times New Roman" w:eastAsia="仿宋_GB2312" w:cs="Times New Roman"/>
                <w:bCs/>
                <w:kern w:val="0"/>
                <w:sz w:val="21"/>
                <w:szCs w:val="21"/>
              </w:rPr>
              <w:t>建设容纳50张床位的护理院，建设容纳200张床位的老年养护院。</w:t>
            </w:r>
          </w:p>
          <w:p>
            <w:pPr>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kern w:val="0"/>
                <w:sz w:val="21"/>
                <w:szCs w:val="21"/>
              </w:rPr>
              <w:t>医疗康养建设。</w:t>
            </w:r>
            <w:r>
              <w:rPr>
                <w:rFonts w:hint="default" w:ascii="Times New Roman" w:hAnsi="Times New Roman" w:eastAsia="仿宋_GB2312" w:cs="Times New Roman"/>
                <w:bCs/>
                <w:kern w:val="0"/>
                <w:sz w:val="21"/>
                <w:szCs w:val="21"/>
                <w:lang w:eastAsia="zh-CN"/>
              </w:rPr>
              <w:t>改造</w:t>
            </w:r>
            <w:r>
              <w:rPr>
                <w:rFonts w:hint="default" w:ascii="Times New Roman" w:hAnsi="Times New Roman" w:eastAsia="仿宋_GB2312" w:cs="Times New Roman"/>
                <w:bCs/>
                <w:kern w:val="0"/>
                <w:sz w:val="21"/>
                <w:szCs w:val="21"/>
              </w:rPr>
              <w:t>白林医院，并新建1000平方米康养病房，购置医疗设备，打造体检、康复、医疗为一体的康养产业项目。</w:t>
            </w:r>
          </w:p>
          <w:p>
            <w:pPr>
              <w:spacing w:line="400" w:lineRule="exact"/>
              <w:ind w:firstLine="422" w:firstLineChars="200"/>
              <w:rPr>
                <w:rFonts w:hint="default" w:ascii="Times New Roman" w:hAnsi="Times New Roman" w:eastAsia="仿宋_GB2312" w:cs="Times New Roman"/>
                <w:kern w:val="0"/>
                <w:szCs w:val="20"/>
              </w:rPr>
            </w:pPr>
            <w:r>
              <w:rPr>
                <w:rFonts w:hint="default" w:ascii="Times New Roman" w:hAnsi="Times New Roman" w:eastAsia="仿宋_GB2312" w:cs="Times New Roman"/>
                <w:b/>
                <w:bCs/>
                <w:kern w:val="0"/>
                <w:sz w:val="21"/>
                <w:szCs w:val="21"/>
              </w:rPr>
              <w:t>蛟河市社会福利服务中心提升改造建设</w:t>
            </w:r>
            <w:r>
              <w:rPr>
                <w:rFonts w:hint="default" w:ascii="Times New Roman" w:hAnsi="Times New Roman" w:eastAsia="仿宋_GB2312" w:cs="Times New Roman"/>
                <w:bCs/>
                <w:kern w:val="0"/>
                <w:sz w:val="21"/>
                <w:szCs w:val="21"/>
              </w:rPr>
              <w:t>：</w:t>
            </w:r>
            <w:r>
              <w:rPr>
                <w:rFonts w:hint="default" w:ascii="Times New Roman" w:hAnsi="Times New Roman" w:eastAsia="仿宋_GB2312" w:cs="Times New Roman"/>
                <w:bCs/>
                <w:kern w:val="0"/>
                <w:sz w:val="21"/>
                <w:szCs w:val="21"/>
                <w:lang w:eastAsia="zh-CN"/>
              </w:rPr>
              <w:t>全面</w:t>
            </w:r>
            <w:r>
              <w:rPr>
                <w:rFonts w:hint="default" w:ascii="Times New Roman" w:hAnsi="Times New Roman" w:eastAsia="仿宋_GB2312" w:cs="Times New Roman"/>
                <w:bCs/>
                <w:kern w:val="0"/>
                <w:sz w:val="21"/>
                <w:szCs w:val="21"/>
              </w:rPr>
              <w:t>改造蛟河市社会福利服务中心消防安全设施和医疗服务设施和基础设施。</w:t>
            </w:r>
          </w:p>
        </w:tc>
      </w:tr>
    </w:tbl>
    <w:p>
      <w:pPr>
        <w:pStyle w:val="5"/>
        <w:pageBreakBefore w:val="0"/>
        <w:widowControl w:val="0"/>
        <w:numPr>
          <w:ilvl w:val="0"/>
          <w:numId w:val="13"/>
        </w:numPr>
        <w:kinsoku/>
        <w:wordWrap/>
        <w:overflowPunct/>
        <w:topLinePunct w:val="0"/>
        <w:autoSpaceDE/>
        <w:autoSpaceDN/>
        <w:bidi w:val="0"/>
        <w:adjustRightInd/>
        <w:snapToGrid/>
        <w:spacing w:before="0" w:beforeLines="0" w:after="0" w:afterLines="0" w:line="560" w:lineRule="exact"/>
        <w:ind w:left="-420" w:leftChars="0"/>
        <w:jc w:val="center"/>
        <w:textAlignment w:val="auto"/>
        <w:rPr>
          <w:rFonts w:hint="eastAsia" w:ascii="方正小标宋简体" w:hAnsi="方正小标宋简体" w:eastAsia="方正小标宋简体" w:cs="方正小标宋简体"/>
          <w:b w:val="0"/>
          <w:bCs w:val="0"/>
          <w:sz w:val="32"/>
          <w:szCs w:val="32"/>
        </w:rPr>
      </w:pPr>
      <w:bookmarkStart w:id="92" w:name="_Toc55314892"/>
      <w:bookmarkStart w:id="93" w:name="_Toc32103"/>
      <w:r>
        <w:rPr>
          <w:rFonts w:hint="eastAsia" w:ascii="方正小标宋简体" w:hAnsi="方正小标宋简体" w:eastAsia="方正小标宋简体" w:cs="方正小标宋简体"/>
          <w:b w:val="0"/>
          <w:bCs w:val="0"/>
          <w:sz w:val="32"/>
          <w:szCs w:val="32"/>
        </w:rPr>
        <w:t>繁荣兴盛文化</w:t>
      </w:r>
      <w:bookmarkEnd w:id="92"/>
      <w:r>
        <w:rPr>
          <w:rFonts w:hint="eastAsia" w:ascii="方正小标宋简体" w:hAnsi="方正小标宋简体" w:eastAsia="方正小标宋简体" w:cs="方正小标宋简体"/>
          <w:b w:val="0"/>
          <w:bCs w:val="0"/>
          <w:sz w:val="32"/>
          <w:szCs w:val="32"/>
        </w:rPr>
        <w:t>事业</w:t>
      </w:r>
      <w:bookmarkEnd w:id="93"/>
    </w:p>
    <w:p>
      <w:pPr>
        <w:numPr>
          <w:ilvl w:val="0"/>
          <w:numId w:val="0"/>
        </w:numPr>
        <w:rPr>
          <w:rFonts w:hint="eastAsia"/>
        </w:rPr>
      </w:pP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健全文化产业体系</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培育一批骨干文化企业。</w:t>
      </w:r>
      <w:r>
        <w:rPr>
          <w:rStyle w:val="56"/>
          <w:rFonts w:hint="default" w:ascii="Times New Roman" w:hAnsi="Times New Roman" w:eastAsia="仿宋_GB2312" w:cs="Times New Roman"/>
          <w:sz w:val="32"/>
          <w:szCs w:val="32"/>
        </w:rPr>
        <w:t>立足蛟河市深厚的文化底蕴，用足用好国家和省文化产业的扶持政策，积极培育文化旅游业、演艺娱乐业、艺术培训业、浪木根雕业、体育健身业、民间工艺业等创新创业企业，持续做大做强龙头企业、大力扶持高成长企业。积极实施“文化+”行动，促进文化与制造、科技、信息、旅游深度融合，推动文化产品结构和行业结构的优化升级。</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加强文化产业平台建设。</w:t>
      </w:r>
      <w:r>
        <w:rPr>
          <w:rFonts w:hint="default" w:ascii="Times New Roman" w:hAnsi="Times New Roman" w:eastAsia="仿宋_GB2312" w:cs="Times New Roman"/>
          <w:sz w:val="32"/>
          <w:szCs w:val="32"/>
        </w:rPr>
        <w:t>以乌林朝鲜族乡、中国传统村落富江、渔猎文化部落西荒地、梦里雪乡六家子、国家美术基地金兰湾、农民作家村三家沟、影视基地插树岭、历史文化街区新站镇、</w:t>
      </w:r>
      <w:r>
        <w:rPr>
          <w:rFonts w:hint="default" w:ascii="Times New Roman" w:hAnsi="Times New Roman" w:eastAsia="仿宋_GB2312" w:cs="Times New Roman"/>
          <w:sz w:val="32"/>
          <w:szCs w:val="32"/>
          <w:lang w:eastAsia="zh-CN"/>
        </w:rPr>
        <w:t>活鱼一条街庆岭村</w:t>
      </w:r>
      <w:r>
        <w:rPr>
          <w:rFonts w:hint="default" w:ascii="Times New Roman" w:hAnsi="Times New Roman" w:eastAsia="仿宋_GB2312" w:cs="Times New Roman"/>
          <w:sz w:val="32"/>
          <w:szCs w:val="32"/>
        </w:rPr>
        <w:t>、东北大煎饼集散地窝集口、天岗头道河至七道河“天七线”文化驿站等为重点，积极建设G302国道</w:t>
      </w:r>
      <w:bookmarkStart w:id="94" w:name="_Hlk54191047"/>
      <w:r>
        <w:rPr>
          <w:rFonts w:hint="default" w:ascii="Times New Roman" w:hAnsi="Times New Roman" w:eastAsia="仿宋_GB2312" w:cs="Times New Roman"/>
          <w:sz w:val="32"/>
          <w:szCs w:val="32"/>
        </w:rPr>
        <w:t>珲阿线</w:t>
      </w:r>
      <w:bookmarkEnd w:id="94"/>
      <w:r>
        <w:rPr>
          <w:rFonts w:hint="default" w:ascii="Times New Roman" w:hAnsi="Times New Roman" w:eastAsia="仿宋_GB2312" w:cs="Times New Roman"/>
          <w:sz w:val="32"/>
          <w:szCs w:val="32"/>
        </w:rPr>
        <w:t>、G222国道嘉临线、环松花湖线文化、体育、冰雪、旅游示范带，打造乡村文化驿站，大力发展文化旅游、影视拍摄、现代休闲等文化产业，着力打造城市文化产业园区、体育产业园区、文化创意产业园。积极拓展文创产业发展空间，培育新的消费空间。</w:t>
      </w:r>
    </w:p>
    <w:p>
      <w:pPr>
        <w:pStyle w:val="6"/>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培育新型文化业态</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积极推进文化创意产业发展。</w:t>
      </w:r>
      <w:r>
        <w:rPr>
          <w:rFonts w:hint="default" w:ascii="Times New Roman" w:hAnsi="Times New Roman" w:eastAsia="仿宋_GB2312" w:cs="Times New Roman"/>
          <w:sz w:val="32"/>
          <w:szCs w:val="32"/>
        </w:rPr>
        <w:t>积极推进文化与城市建设、乡村振兴融合发展，把地域特色文化体现到城乡规划建设的每一个环节，高标准规划建设城市文化体育产业园区、特色休闲文化街区、乡镇文化艺术中心、文化体育公园、乡村文旅驿站，积极培育体育早市，打造文化夜市，进一步激活文娱演出市场。</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全力推进文化工艺产业发展。</w:t>
      </w:r>
      <w:r>
        <w:rPr>
          <w:rFonts w:hint="default" w:ascii="Times New Roman" w:hAnsi="Times New Roman" w:eastAsia="仿宋_GB2312" w:cs="Times New Roman"/>
          <w:sz w:val="32"/>
          <w:szCs w:val="32"/>
        </w:rPr>
        <w:t>积极挖掘地域文化资源，围绕特色产业大力培育非物质文化遗产项目，新增5处省级非遗保护传承基地。充分发挥非物质文化遗产项目的生产力作用，重点围绕传统医药、庆岭活鱼烹饪技艺、松花湖酒酿造技艺、黄松甸黑木耳、天岗窝集口大煎饼等一批非遗项目，积极开展非遗宣传和展示活动，着力打造特色文旅产品设计、生产、销售基地。</w:t>
      </w:r>
    </w:p>
    <w:p>
      <w:pPr>
        <w:pStyle w:val="2"/>
        <w:rPr>
          <w:rFonts w:hint="default"/>
        </w:rPr>
      </w:pPr>
    </w:p>
    <w:p>
      <w:pPr>
        <w:pStyle w:val="4"/>
        <w:pageBreakBefore w:val="0"/>
        <w:widowControl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95" w:name="_Toc55314894"/>
      <w:bookmarkStart w:id="96" w:name="_Toc474"/>
      <w:bookmarkStart w:id="97" w:name="_Toc60232822"/>
      <w:bookmarkStart w:id="98" w:name="_Toc54275589"/>
      <w:r>
        <w:rPr>
          <w:rFonts w:hint="eastAsia" w:ascii="方正小标宋简体" w:hAnsi="方正小标宋简体" w:eastAsia="方正小标宋简体" w:cs="方正小标宋简体"/>
          <w:b w:val="0"/>
          <w:bCs w:val="0"/>
          <w:sz w:val="32"/>
          <w:szCs w:val="32"/>
        </w:rPr>
        <w:t>全面深入推进科技创新发展</w:t>
      </w:r>
      <w:bookmarkEnd w:id="95"/>
      <w:bookmarkEnd w:id="96"/>
      <w:bookmarkEnd w:id="97"/>
    </w:p>
    <w:p>
      <w:pPr>
        <w:pStyle w:val="5"/>
        <w:pageBreakBefore w:val="0"/>
        <w:widowControl w:val="0"/>
        <w:numPr>
          <w:ilvl w:val="0"/>
          <w:numId w:val="14"/>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shd w:val="clear" w:color="auto" w:fill="FFFFFF"/>
        </w:rPr>
      </w:pPr>
      <w:bookmarkStart w:id="99" w:name="_Toc14006"/>
      <w:r>
        <w:rPr>
          <w:rFonts w:hint="eastAsia" w:ascii="方正小标宋简体" w:hAnsi="方正小标宋简体" w:eastAsia="方正小标宋简体" w:cs="方正小标宋简体"/>
          <w:b w:val="0"/>
          <w:bCs w:val="0"/>
          <w:sz w:val="32"/>
          <w:szCs w:val="32"/>
          <w:shd w:val="clear" w:color="auto" w:fill="FFFFFF"/>
        </w:rPr>
        <w:t>提升企业自主创新能力</w:t>
      </w:r>
      <w:bookmarkEnd w:id="99"/>
    </w:p>
    <w:p>
      <w:pPr>
        <w:pageBreakBefore w:val="0"/>
        <w:widowControl w:val="0"/>
        <w:kinsoku/>
        <w:wordWrap/>
        <w:overflowPunct/>
        <w:topLinePunct w:val="0"/>
        <w:autoSpaceDE/>
        <w:autoSpaceDN/>
        <w:bidi w:val="0"/>
        <w:adjustRightInd/>
        <w:snapToGrid/>
        <w:spacing w:line="560" w:lineRule="exact"/>
        <w:textAlignment w:val="auto"/>
        <w:rPr>
          <w:rFonts w:hint="default"/>
        </w:rPr>
      </w:pP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重点针对医药健康、新能源新材料、旅游商贸和长白山特产品四大经济发展动力源产业，统筹推进补齐短板和锻造长板。针对产业薄弱环节，实施好关键核心技术攻关工程。充分提升企业自主创新能力，统筹利用资源，加大对现有产品设备的研发力度，组织实施若干重点科技专项，</w:t>
      </w:r>
      <w:r>
        <w:rPr>
          <w:rFonts w:hint="default" w:ascii="Times New Roman" w:hAnsi="Times New Roman" w:eastAsia="仿宋_GB2312" w:cs="Times New Roman"/>
          <w:sz w:val="32"/>
          <w:szCs w:val="32"/>
          <w:lang w:val="zh-CN"/>
        </w:rPr>
        <w:t>紧紧抓住“数字吉林”建设契机，持续推动工业智能制造智慧化发展</w:t>
      </w:r>
      <w:r>
        <w:rPr>
          <w:rFonts w:hint="default" w:ascii="Times New Roman" w:hAnsi="Times New Roman" w:eastAsia="仿宋_GB2312" w:cs="Times New Roman"/>
          <w:sz w:val="32"/>
          <w:szCs w:val="32"/>
        </w:rPr>
        <w:t>。积极引导和支持政策要素、人才要素、技术要素、资金要素、管理要素向企业聚集，促进科技成果向现实生产转化。</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lang w:bidi="ar"/>
        </w:rPr>
      </w:pPr>
      <w:bookmarkStart w:id="100" w:name="_Toc19958"/>
      <w:r>
        <w:rPr>
          <w:rFonts w:hint="eastAsia" w:ascii="方正小标宋简体" w:hAnsi="方正小标宋简体" w:eastAsia="方正小标宋简体" w:cs="方正小标宋简体"/>
          <w:b w:val="0"/>
          <w:bCs w:val="0"/>
          <w:sz w:val="32"/>
          <w:szCs w:val="32"/>
          <w:lang w:bidi="ar"/>
        </w:rPr>
        <w:t>强化企业创新主体地位</w:t>
      </w:r>
      <w:bookmarkEnd w:id="100"/>
    </w:p>
    <w:p>
      <w:pPr>
        <w:rPr>
          <w:rFonts w:hint="default"/>
        </w:rPr>
      </w:pP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深入实施创新驱动发展战略，鼓励企业以管理创新、产品创新、科技创新为支撑，加大科技创新投入，加快创新成果转化，努力把创新渗透到管理、生产、技术研发、市场开拓等全过程，</w:t>
      </w:r>
      <w:r>
        <w:rPr>
          <w:rFonts w:hint="default" w:ascii="Times New Roman" w:hAnsi="Times New Roman" w:eastAsia="仿宋_GB2312" w:cs="Times New Roman"/>
          <w:kern w:val="0"/>
          <w:sz w:val="32"/>
          <w:szCs w:val="32"/>
          <w:lang w:bidi="ar"/>
        </w:rPr>
        <w:t>支持行业骨干企业建设企业技术中心、实验室等省级以上研发机构，积极创建国家级研发机构，</w:t>
      </w:r>
      <w:r>
        <w:rPr>
          <w:rFonts w:hint="default" w:ascii="Times New Roman" w:hAnsi="Times New Roman" w:eastAsia="仿宋_GB2312" w:cs="Times New Roman"/>
          <w:sz w:val="32"/>
          <w:szCs w:val="32"/>
        </w:rPr>
        <w:t>重点</w:t>
      </w:r>
      <w:r>
        <w:rPr>
          <w:rFonts w:hint="default" w:ascii="Times New Roman" w:hAnsi="Times New Roman" w:eastAsia="仿宋_GB2312" w:cs="Times New Roman"/>
          <w:bCs/>
          <w:sz w:val="32"/>
          <w:szCs w:val="32"/>
        </w:rPr>
        <w:t>推进长白山制药与吉林省中医药科学院、添正医药与江南大学、中科沃峰与吉林大学、守庆新能源与清华大学等技术合作和成果转化应用</w:t>
      </w:r>
      <w:r>
        <w:rPr>
          <w:rFonts w:hint="default" w:ascii="Times New Roman" w:hAnsi="Times New Roman" w:eastAsia="仿宋_GB2312" w:cs="Times New Roman"/>
          <w:sz w:val="32"/>
          <w:szCs w:val="32"/>
        </w:rPr>
        <w:t>。全面</w:t>
      </w:r>
      <w:r>
        <w:rPr>
          <w:rFonts w:hint="default" w:ascii="Times New Roman" w:hAnsi="Times New Roman" w:eastAsia="仿宋_GB2312" w:cs="Times New Roman"/>
          <w:kern w:val="0"/>
          <w:sz w:val="32"/>
          <w:szCs w:val="32"/>
          <w:shd w:val="clear" w:color="auto" w:fill="FFFFFF"/>
          <w:lang w:bidi="ar"/>
        </w:rPr>
        <w:t>落实高新技术企业税收优惠、企业研发费用加计扣除等扶持政策，激励企业建立研发准备金制度，引导企业加大研发投入；支持企业参与承担国家及省、吉林市科技专项，着力使企业成为创新需求的主体、研发投入的主体和科技成果应用的主体。</w:t>
      </w:r>
      <w:r>
        <w:rPr>
          <w:rFonts w:hint="default" w:ascii="Times New Roman" w:hAnsi="Times New Roman" w:eastAsia="仿宋_GB2312" w:cs="Times New Roman"/>
          <w:sz w:val="32"/>
          <w:szCs w:val="32"/>
        </w:rPr>
        <w:t>实施高新技术企业和科技小巨人企业“育成”计划，引导资金、技术、项目、人才等资源要素向企业集聚，培育科技小巨人企业、高新技术企业5</w:t>
      </w:r>
      <w:r>
        <w:rPr>
          <w:rFonts w:hint="default" w:ascii="Times New Roman" w:hAnsi="Times New Roman" w:eastAsia="仿宋_GB2312" w:cs="Times New Roman"/>
          <w:sz w:val="32"/>
          <w:szCs w:val="32"/>
          <w:lang w:eastAsia="zh-CN"/>
        </w:rPr>
        <w:t>家</w:t>
      </w:r>
      <w:r>
        <w:rPr>
          <w:rFonts w:hint="default" w:ascii="Times New Roman" w:hAnsi="Times New Roman" w:eastAsia="仿宋_GB2312" w:cs="Times New Roman"/>
          <w:sz w:val="32"/>
          <w:szCs w:val="32"/>
        </w:rPr>
        <w:t>以上。</w:t>
      </w: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shd w:val="clear" w:color="auto" w:fill="FFFFFF"/>
          <w:lang w:bidi="ar"/>
        </w:rPr>
      </w:pPr>
      <w:bookmarkStart w:id="101" w:name="_Toc12653"/>
      <w:bookmarkStart w:id="102" w:name="_Toc55314896"/>
      <w:r>
        <w:rPr>
          <w:rFonts w:hint="eastAsia" w:ascii="方正小标宋简体" w:hAnsi="方正小标宋简体" w:eastAsia="方正小标宋简体" w:cs="方正小标宋简体"/>
          <w:b w:val="0"/>
          <w:bCs w:val="0"/>
          <w:sz w:val="32"/>
          <w:szCs w:val="32"/>
          <w:shd w:val="clear" w:color="auto" w:fill="FFFFFF"/>
          <w:lang w:bidi="ar"/>
        </w:rPr>
        <w:t>加强科技成果转化应用</w:t>
      </w:r>
      <w:bookmarkEnd w:id="101"/>
    </w:p>
    <w:p>
      <w:pPr>
        <w:rPr>
          <w:rFonts w:hint="default"/>
        </w:rPr>
      </w:pPr>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shd w:val="clear" w:color="auto" w:fill="FFFFFF"/>
          <w:lang w:bidi="ar"/>
        </w:rPr>
        <w:t>结合产业发展需求，</w:t>
      </w:r>
      <w:r>
        <w:rPr>
          <w:rFonts w:hint="default" w:ascii="Times New Roman" w:hAnsi="Times New Roman" w:eastAsia="仿宋_GB2312" w:cs="Times New Roman"/>
          <w:sz w:val="32"/>
          <w:szCs w:val="32"/>
        </w:rPr>
        <w:t>重点围绕医药健康、新能源新材料、长白山特产品加工等特色产业，</w:t>
      </w:r>
      <w:r>
        <w:rPr>
          <w:rFonts w:hint="default" w:ascii="Times New Roman" w:hAnsi="Times New Roman" w:eastAsia="仿宋_GB2312" w:cs="Times New Roman"/>
          <w:kern w:val="0"/>
          <w:sz w:val="32"/>
          <w:szCs w:val="32"/>
          <w:shd w:val="clear" w:color="auto" w:fill="FFFFFF"/>
          <w:lang w:bidi="ar"/>
        </w:rPr>
        <w:t>积极跟踪最新科研动向和科技成果，引导企业加强对接，深入推进企业与高校院所交流合作、推动科技成果有效转化，重点</w:t>
      </w:r>
      <w:r>
        <w:rPr>
          <w:rFonts w:hint="default" w:ascii="Times New Roman" w:hAnsi="Times New Roman" w:eastAsia="仿宋_GB2312" w:cs="Times New Roman"/>
          <w:sz w:val="32"/>
          <w:szCs w:val="32"/>
        </w:rPr>
        <w:t>加快中科院苏州医工所蛟河创新产业园建设进度，确保科研成果转化项目批量落地开工</w:t>
      </w:r>
      <w:r>
        <w:rPr>
          <w:rFonts w:hint="default" w:ascii="Times New Roman" w:hAnsi="Times New Roman" w:eastAsia="仿宋_GB2312" w:cs="Times New Roman"/>
          <w:kern w:val="0"/>
          <w:sz w:val="32"/>
          <w:szCs w:val="32"/>
          <w:shd w:val="clear" w:color="auto" w:fill="FFFFFF"/>
          <w:lang w:bidi="ar"/>
        </w:rPr>
        <w:t>。进一步争取对重大科技成果转化的资金扶持，积极引导社会资金参与重大科技成果产业化；</w:t>
      </w:r>
      <w:r>
        <w:rPr>
          <w:rFonts w:hint="default" w:ascii="Times New Roman" w:hAnsi="Times New Roman" w:eastAsia="仿宋_GB2312" w:cs="Times New Roman"/>
          <w:sz w:val="32"/>
          <w:szCs w:val="32"/>
        </w:rPr>
        <w:t>鼓励企业依托各种科技创新平台，积极参与支撑引领产业发展的重大应用技术研究，加强“互联网+”产业跨界融合技术创新。鼓励支持科研院所、高校专家将科技成果优先落户我市，实现转化与产业化，大力提升原始创新能力、集成创新能力和引进消化吸收再创新能力，为产业持续发展提供科技动力保障。</w:t>
      </w:r>
      <w:bookmarkEnd w:id="102"/>
    </w:p>
    <w:p>
      <w:pPr>
        <w:pStyle w:val="55"/>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p>
    <w:p>
      <w:pPr>
        <w:pStyle w:val="4"/>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03" w:name="_Toc60232823"/>
      <w:bookmarkStart w:id="104" w:name="_Toc27474"/>
      <w:bookmarkStart w:id="105" w:name="_Toc55314898"/>
      <w:r>
        <w:rPr>
          <w:rFonts w:hint="eastAsia" w:ascii="方正小标宋简体" w:hAnsi="方正小标宋简体" w:eastAsia="方正小标宋简体" w:cs="方正小标宋简体"/>
          <w:b w:val="0"/>
          <w:bCs w:val="0"/>
          <w:sz w:val="32"/>
          <w:szCs w:val="32"/>
        </w:rPr>
        <w:t>稳步推进新型基础设施建设</w:t>
      </w:r>
      <w:bookmarkEnd w:id="98"/>
      <w:bookmarkEnd w:id="103"/>
      <w:bookmarkEnd w:id="104"/>
      <w:bookmarkEnd w:id="105"/>
    </w:p>
    <w:p>
      <w:pPr>
        <w:pStyle w:val="5"/>
        <w:pageBreakBefore w:val="0"/>
        <w:numPr>
          <w:ilvl w:val="0"/>
          <w:numId w:val="15"/>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06" w:name="_Toc12532"/>
      <w:r>
        <w:rPr>
          <w:rFonts w:hint="eastAsia" w:ascii="方正小标宋简体" w:hAnsi="方正小标宋简体" w:eastAsia="方正小标宋简体" w:cs="方正小标宋简体"/>
          <w:b w:val="0"/>
          <w:bCs w:val="0"/>
          <w:sz w:val="32"/>
          <w:szCs w:val="32"/>
        </w:rPr>
        <w:t>加强信息网络基础设施建设</w:t>
      </w:r>
      <w:bookmarkEnd w:id="106"/>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zh-CN"/>
        </w:rPr>
        <w:t>建设高水平全光网络。</w:t>
      </w:r>
      <w:r>
        <w:rPr>
          <w:rStyle w:val="56"/>
          <w:rFonts w:hint="default" w:ascii="Times New Roman" w:hAnsi="Times New Roman" w:eastAsia="仿宋_GB2312" w:cs="Times New Roman"/>
          <w:sz w:val="32"/>
          <w:szCs w:val="32"/>
        </w:rPr>
        <w:t>构建高速骨干光纤网络，优化互联网骨干网的网络架构，提高互联网出口带宽和网络质量。实施千兆光网城市建设，继续拓宽城域网出口带宽。深入实施“百兆乡村”示范及配套支撑工程，推进光纤宽带向乡村延伸，巩固提升农村信息化水平。加强信息网络建设，重点实施全光网宽带网络、5G网络、移动基站及业务机房等建设项目。提高农村、偏远地区、森林公园、重要景区的信息网络覆盖率。</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发展5G移动通信。</w:t>
      </w:r>
      <w:r>
        <w:rPr>
          <w:rFonts w:hint="default" w:ascii="Times New Roman" w:hAnsi="Times New Roman" w:eastAsia="仿宋_GB2312" w:cs="Times New Roman"/>
          <w:sz w:val="32"/>
          <w:szCs w:val="32"/>
        </w:rPr>
        <w:t>全面开展以5G网络为重点的无线宽带城市建设，加快推动5G网络试点和布局建设，以政府办公楼、重要旅游景区、各大医院、重点产业园区等全市热点区域为首批5G网络建设对象，逐步实施乡村5G网络覆盖工程，推进农村重点区域5G网络建设，构建连续覆盖的5G网络。</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强化4/5G组网协同。</w:t>
      </w:r>
      <w:r>
        <w:rPr>
          <w:rFonts w:hint="default" w:ascii="Times New Roman" w:hAnsi="Times New Roman" w:eastAsia="仿宋_GB2312" w:cs="Times New Roman"/>
          <w:sz w:val="32"/>
          <w:szCs w:val="32"/>
        </w:rPr>
        <w:t>建设5G站点同时反向开通3D-MIMO站点，同步提升4G站点下载速率并进行流量分流；升级改造4/5G基站同覆盖区域核心网元设备，支持N26接口互通、互操作参数处理等功能，实现用户数据在4/5G网络间无缝切换，确保业务和会话连续性。</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bCs/>
          <w:sz w:val="32"/>
          <w:szCs w:val="32"/>
        </w:rPr>
        <w:t>实施信息设施资源共享。</w:t>
      </w:r>
      <w:r>
        <w:rPr>
          <w:rFonts w:hint="default" w:ascii="Times New Roman" w:hAnsi="Times New Roman" w:eastAsia="仿宋_GB2312" w:cs="Times New Roman"/>
          <w:sz w:val="32"/>
          <w:szCs w:val="32"/>
          <w:lang w:val="zh-CN"/>
        </w:rPr>
        <w:t>加快宽带网络、数据中心、基础平台等各类支撑性资源统筹共享，推动信息基础设施集约化建设。推进5G基站铁塔、室内分布系统等通信设施共建共享。完善信息网络安全防护保护措施，提高信息安全管理级别和水平。</w:t>
      </w:r>
    </w:p>
    <w:p>
      <w:pPr>
        <w:pStyle w:val="2"/>
        <w:rPr>
          <w:rFonts w:hint="default"/>
          <w:lang w:val="zh-CN"/>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07" w:name="_Toc25995"/>
      <w:r>
        <w:rPr>
          <w:rFonts w:hint="eastAsia" w:ascii="方正小标宋简体" w:hAnsi="方正小标宋简体" w:eastAsia="方正小标宋简体" w:cs="方正小标宋简体"/>
          <w:b w:val="0"/>
          <w:bCs w:val="0"/>
          <w:sz w:val="32"/>
          <w:szCs w:val="32"/>
        </w:rPr>
        <w:t>构建新型智慧城市数据平台</w:t>
      </w:r>
      <w:bookmarkEnd w:id="107"/>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shd w:val="clear" w:color="auto" w:fill="FFFFFF"/>
        </w:rPr>
        <w:t>夯实智慧城市基础</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rPr>
        <w:t>加强5G、人工智能、工业互联网、物联网等新型基础设施建设和升级改造，加快建设集人口信息、医疗卫生、数字货币、地理空间等城市基础数据库，打造云计算中心，开展云服务。构建“智慧基础设施、智慧政府服务、智慧城市治理、智慧产业经济、智慧数字校园、智慧医疗卫生”六位一体的智慧蛟河体系。</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构筑智慧城市服务平台。</w:t>
      </w:r>
      <w:r>
        <w:rPr>
          <w:rFonts w:hint="default" w:ascii="Times New Roman" w:hAnsi="Times New Roman" w:eastAsia="仿宋_GB2312" w:cs="Times New Roman"/>
          <w:sz w:val="32"/>
          <w:szCs w:val="32"/>
        </w:rPr>
        <w:t>进一步提升网上办事大厅建设水平，全力推进数字化政府建设，加快全市外网建设，打造“互联网+政府服务”，完善公共资源交易平台。加强“我的蛟河”APP建设，让数</w:t>
      </w:r>
      <w:r>
        <w:rPr>
          <w:rFonts w:hint="default" w:ascii="Times New Roman" w:hAnsi="Times New Roman" w:eastAsia="仿宋_GB2312" w:cs="Times New Roman"/>
          <w:sz w:val="32"/>
          <w:szCs w:val="32"/>
          <w:lang w:val="zh-CN"/>
        </w:rPr>
        <w:t>据多跑路、群众少跑腿，切实增强群众和市场主体满意度。</w:t>
      </w:r>
      <w:r>
        <w:rPr>
          <w:rFonts w:hint="default" w:ascii="Times New Roman" w:hAnsi="Times New Roman" w:eastAsia="仿宋_GB2312" w:cs="Times New Roman"/>
          <w:sz w:val="32"/>
          <w:szCs w:val="32"/>
        </w:rPr>
        <w:t>不断完善“蛟河融媒”服务功能。整合政府城市管理资源，做好智慧城管运行管理工作，推进城市管理精细化。</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加快城市智慧交通建设</w:t>
      </w:r>
      <w:r>
        <w:rPr>
          <w:rStyle w:val="32"/>
          <w:rFonts w:hint="default" w:ascii="Times New Roman" w:hAnsi="Times New Roman" w:eastAsia="仿宋_GB2312" w:cs="Times New Roman"/>
          <w:spacing w:val="30"/>
          <w:sz w:val="32"/>
          <w:szCs w:val="32"/>
          <w:shd w:val="clear" w:color="auto" w:fill="FFFFFF"/>
        </w:rPr>
        <w:t>。</w:t>
      </w:r>
      <w:r>
        <w:rPr>
          <w:rFonts w:hint="default" w:ascii="Times New Roman" w:hAnsi="Times New Roman" w:eastAsia="仿宋_GB2312" w:cs="Times New Roman"/>
          <w:sz w:val="32"/>
          <w:szCs w:val="32"/>
        </w:rPr>
        <w:t>深入推进城市智慧交通平台建设，强化各系统深度应用，加强数据分析研判与实战应用的对接，运用云计算、大数据、人工智能等多项前沿技术优化城市道路交通，提高交通警情发现与处置效率、保障城市交通出行安全。</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sz w:val="32"/>
          <w:szCs w:val="32"/>
          <w:shd w:val="clear" w:color="auto" w:fill="FFFFFF"/>
        </w:rPr>
        <w:t>加快智慧应急体系建设。</w:t>
      </w:r>
      <w:r>
        <w:rPr>
          <w:rFonts w:hint="default" w:ascii="Times New Roman" w:hAnsi="Times New Roman" w:eastAsia="仿宋_GB2312" w:cs="Times New Roman"/>
          <w:sz w:val="32"/>
          <w:szCs w:val="32"/>
          <w:shd w:val="clear" w:color="auto" w:fill="FFFFFF"/>
        </w:rPr>
        <w:t>围绕行业领域安全监测、地震地质灾害监测等应用需求，利用5G技术构建感知网络，提高对风险因素的感知、预测、防范能力。打造食品药品智慧应急处置系统，推动5G技术在应急指挥和日常应急管理中的广泛应用，加快现代应急治理体系建设。  </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加快“智慧监管”建设。</w:t>
      </w:r>
      <w:r>
        <w:rPr>
          <w:rFonts w:hint="default" w:ascii="Times New Roman" w:hAnsi="Times New Roman" w:eastAsia="仿宋_GB2312" w:cs="Times New Roman"/>
          <w:sz w:val="32"/>
          <w:szCs w:val="32"/>
          <w:shd w:val="clear" w:color="auto" w:fill="FFFFFF"/>
        </w:rPr>
        <w:t>聚焦食品安全、药品安全、特种设备安全，探索远程监管、适时监管，及时发现、堵塞监管漏洞，化解食品、药品、特种设备安全隐患，对食品、药品、特种设备生产经营使用市场主体实施无死角监管。</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08" w:name="_Toc22785"/>
      <w:r>
        <w:rPr>
          <w:rFonts w:hint="eastAsia" w:ascii="方正小标宋简体" w:hAnsi="方正小标宋简体" w:eastAsia="方正小标宋简体" w:cs="方正小标宋简体"/>
          <w:b w:val="0"/>
          <w:bCs w:val="0"/>
          <w:sz w:val="32"/>
          <w:szCs w:val="32"/>
        </w:rPr>
        <w:t>推进新基建行业应用</w:t>
      </w:r>
      <w:bookmarkEnd w:id="108"/>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sz w:val="32"/>
          <w:szCs w:val="32"/>
          <w:lang w:val="zh-CN"/>
        </w:rPr>
        <w:t>建设一批“5G+”农业示范点。</w:t>
      </w:r>
      <w:r>
        <w:rPr>
          <w:rFonts w:hint="default" w:ascii="Times New Roman" w:hAnsi="Times New Roman" w:eastAsia="仿宋_GB2312" w:cs="Times New Roman"/>
          <w:sz w:val="32"/>
          <w:szCs w:val="32"/>
        </w:rPr>
        <w:t>围绕种植业、养殖业等重点领域和特色产业，建设一批特色鲜明的5G农业应用示范基地。推进5G与农业大数据、人工智能、机器人技术和装备在农业生产中的融合应用，打造一批生态智慧农场。</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shd w:val="clear" w:color="auto" w:fill="FFFFFF"/>
        </w:rPr>
        <w:t>建设工业互联网网络架构体系。</w:t>
      </w:r>
      <w:r>
        <w:rPr>
          <w:rFonts w:hint="default" w:ascii="Times New Roman" w:hAnsi="Times New Roman" w:eastAsia="仿宋_GB2312" w:cs="Times New Roman"/>
          <w:sz w:val="32"/>
          <w:szCs w:val="32"/>
          <w:shd w:val="clear" w:color="auto" w:fill="FFFFFF"/>
        </w:rPr>
        <w:t>统筹网络资源，加快工业互联网建设，推动产业园区内外部工业网络转型升级。聚焦天岗石材产业园区、蛟河经济开发区，积极探索5G网络在工业互联网领域的创新应用实践，</w:t>
      </w:r>
      <w:r>
        <w:rPr>
          <w:rFonts w:hint="default" w:ascii="Times New Roman" w:hAnsi="Times New Roman" w:eastAsia="仿宋_GB2312" w:cs="Times New Roman"/>
          <w:sz w:val="32"/>
          <w:szCs w:val="32"/>
        </w:rPr>
        <w:t>鼓励利用5G技术加快工业互联网改造升级，发展基于5G的工业互联网平台及整体解决方案应用商，重点支持示范园区工业企业牵头建设“5G+工业互联网”应用标杆示范项目。</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sz w:val="32"/>
          <w:szCs w:val="32"/>
        </w:rPr>
        <w:t>加快智慧旅游景区建设</w:t>
      </w:r>
      <w:r>
        <w:rPr>
          <w:rStyle w:val="32"/>
          <w:rFonts w:hint="default" w:ascii="Times New Roman" w:hAnsi="Times New Roman" w:eastAsia="仿宋_GB2312" w:cs="Times New Roman"/>
          <w:spacing w:val="30"/>
          <w:sz w:val="32"/>
          <w:szCs w:val="32"/>
          <w:shd w:val="clear" w:color="auto" w:fill="FFFFFF"/>
        </w:rPr>
        <w:t>。</w:t>
      </w:r>
      <w:r>
        <w:rPr>
          <w:rFonts w:hint="default" w:ascii="Times New Roman" w:hAnsi="Times New Roman" w:eastAsia="仿宋_GB2312" w:cs="Times New Roman"/>
          <w:sz w:val="32"/>
          <w:szCs w:val="32"/>
          <w:shd w:val="clear" w:color="auto" w:fill="FFFFFF"/>
        </w:rPr>
        <w:t>聚焦红叶岭国家森林公园、富江最美村落、华兰德酒庄等核心景区，整合“慧游蛟河”智慧旅游平台等资源，建设全域智慧旅游综合服务平台，提升智慧旅游管理和服务水平。推动5G与旅游大数据、景区AR/VR等融合应用，开发信息化旅游和文化产品，实现旅游精准营销和智能化管理。</w:t>
      </w:r>
    </w:p>
    <w:p>
      <w:pPr>
        <w:rPr>
          <w:rFonts w:hint="eastAsia"/>
          <w:shd w:val="clear" w:color="auto" w:fill="FFFFFF"/>
          <w:lang w:val="zh-CN"/>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400" w:lineRule="exact"/>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专栏1</w:t>
            </w:r>
            <w:r>
              <w:rPr>
                <w:rFonts w:hint="default" w:ascii="Times New Roman" w:hAnsi="Times New Roman" w:eastAsia="仿宋_GB2312" w:cs="Times New Roman"/>
                <w:b/>
                <w:bCs/>
                <w:sz w:val="21"/>
                <w:szCs w:val="21"/>
                <w:lang w:val="en-US" w:eastAsia="zh-CN"/>
              </w:rPr>
              <w:t xml:space="preserve">3 </w:t>
            </w:r>
            <w:r>
              <w:rPr>
                <w:rFonts w:hint="default" w:ascii="Times New Roman" w:hAnsi="Times New Roman" w:eastAsia="仿宋_GB2312" w:cs="Times New Roman"/>
                <w:b/>
                <w:bCs/>
                <w:sz w:val="21"/>
                <w:szCs w:val="21"/>
              </w:rPr>
              <w:t>信息网络重点项目</w:t>
            </w:r>
          </w:p>
          <w:p>
            <w:pPr>
              <w:spacing w:line="400" w:lineRule="exact"/>
              <w:ind w:firstLine="422" w:firstLineChars="200"/>
              <w:jc w:val="left"/>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5G网络工程。</w:t>
            </w:r>
            <w:r>
              <w:rPr>
                <w:rFonts w:hint="default" w:ascii="Times New Roman" w:hAnsi="Times New Roman" w:eastAsia="仿宋_GB2312" w:cs="Times New Roman"/>
                <w:sz w:val="21"/>
                <w:szCs w:val="21"/>
              </w:rPr>
              <w:t>实现城市主城区深度覆盖、市域全覆盖。</w:t>
            </w:r>
          </w:p>
          <w:p>
            <w:pPr>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智慧城市建设。</w:t>
            </w:r>
            <w:r>
              <w:rPr>
                <w:rFonts w:hint="default" w:ascii="Times New Roman" w:hAnsi="Times New Roman" w:eastAsia="仿宋_GB2312" w:cs="Times New Roman"/>
                <w:sz w:val="21"/>
                <w:szCs w:val="21"/>
              </w:rPr>
              <w:t>数据智脑平台</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智慧城管</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智慧医疗</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智慧天岗。</w:t>
            </w:r>
          </w:p>
          <w:p>
            <w:pPr>
              <w:spacing w:line="400" w:lineRule="exact"/>
              <w:ind w:firstLine="422" w:firstLineChars="200"/>
              <w:jc w:val="left"/>
              <w:rPr>
                <w:rFonts w:hint="default" w:ascii="Times New Roman" w:hAnsi="Times New Roman" w:eastAsia="仿宋_GB2312" w:cs="Times New Roman"/>
                <w:sz w:val="24"/>
                <w:szCs w:val="21"/>
              </w:rPr>
            </w:pPr>
            <w:r>
              <w:rPr>
                <w:rFonts w:hint="default" w:ascii="Times New Roman" w:hAnsi="Times New Roman" w:eastAsia="仿宋_GB2312" w:cs="Times New Roman"/>
                <w:b/>
                <w:bCs/>
                <w:sz w:val="21"/>
                <w:szCs w:val="21"/>
              </w:rPr>
              <w:t>智慧产业建设。</w:t>
            </w:r>
            <w:r>
              <w:rPr>
                <w:rFonts w:hint="default" w:ascii="Times New Roman" w:hAnsi="Times New Roman" w:eastAsia="仿宋_GB2312" w:cs="Times New Roman"/>
                <w:sz w:val="21"/>
                <w:szCs w:val="21"/>
              </w:rPr>
              <w:t>智慧农业</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智慧旅游</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智慧物流</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应急管理</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智慧河长。</w:t>
            </w:r>
          </w:p>
        </w:tc>
      </w:tr>
    </w:tbl>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jc w:val="both"/>
        <w:textAlignment w:val="auto"/>
        <w:rPr>
          <w:rFonts w:hint="eastAsia" w:ascii="Times New Roman" w:hAnsi="Times New Roman" w:eastAsia="仿宋_GB2312" w:cs="Times New Roman"/>
          <w:sz w:val="32"/>
          <w:szCs w:val="32"/>
          <w:lang w:eastAsia="zh-CN"/>
        </w:rPr>
      </w:pPr>
      <w:bookmarkStart w:id="109" w:name="_Toc9697"/>
      <w:bookmarkStart w:id="110" w:name="_Toc55314900"/>
    </w:p>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jc w:val="center"/>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eastAsia="zh-CN"/>
        </w:rPr>
        <w:t>第四节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建设新能源汽车充电基础设施工程</w:t>
      </w:r>
      <w:bookmarkEnd w:id="109"/>
      <w:bookmarkEnd w:id="110"/>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shd w:val="clear" w:color="auto" w:fill="FFFFFF"/>
        </w:rPr>
        <w:t>优化全市新能源汽车充电桩布局</w:t>
      </w:r>
      <w:r>
        <w:rPr>
          <w:rFonts w:hint="default" w:ascii="Times New Roman" w:hAnsi="Times New Roman" w:eastAsia="仿宋_GB2312" w:cs="Times New Roman"/>
          <w:sz w:val="32"/>
          <w:szCs w:val="32"/>
        </w:rPr>
        <w:t>。以蛟河市区为中心，采取分片布点与集中布点相结合的方式，向全市各街道及主要乡镇拓展，为绿色出行夯实基础。企业、部门根据配置新能源汽车车辆数，按合理的车桩比建设车辆专用充电设施。自用充电设施主要结合住宅及办公场所、医院、学校、文体等大型公共建筑、工业与物流企业的配建停车场等进行设置。</w:t>
      </w:r>
    </w:p>
    <w:p>
      <w:pPr>
        <w:pStyle w:val="2"/>
        <w:rPr>
          <w:rFonts w:hint="default"/>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专栏1</w:t>
            </w:r>
            <w:r>
              <w:rPr>
                <w:rFonts w:hint="default" w:ascii="Times New Roman" w:hAnsi="Times New Roman" w:eastAsia="仿宋_GB2312" w:cs="Times New Roman"/>
                <w:b/>
                <w:bCs/>
                <w:sz w:val="21"/>
                <w:szCs w:val="21"/>
                <w:lang w:val="en-US" w:eastAsia="zh-CN"/>
              </w:rPr>
              <w:t>4</w:t>
            </w:r>
            <w:r>
              <w:rPr>
                <w:rFonts w:hint="default" w:ascii="Times New Roman" w:hAnsi="Times New Roman" w:eastAsia="仿宋_GB2312" w:cs="Times New Roman"/>
                <w:b/>
                <w:bCs/>
                <w:sz w:val="21"/>
                <w:szCs w:val="21"/>
              </w:rPr>
              <w:t xml:space="preserve"> 新能源充电桩建设项目</w:t>
            </w:r>
          </w:p>
          <w:p>
            <w:pPr>
              <w:spacing w:line="400" w:lineRule="exact"/>
              <w:ind w:firstLine="422" w:firstLineChars="200"/>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蛟河市乡镇充电基础设施建设。</w:t>
            </w:r>
            <w:r>
              <w:rPr>
                <w:rFonts w:hint="default" w:ascii="Times New Roman" w:hAnsi="Times New Roman" w:eastAsia="仿宋_GB2312" w:cs="Times New Roman"/>
                <w:sz w:val="21"/>
                <w:szCs w:val="21"/>
              </w:rPr>
              <w:t>36台120KW直流充电桩,36台21KW交流充电桩。建设地点：黄松甸镇、天岗镇、庆岭镇、白石山镇、松江镇、漂河镇、新站镇、拉法街、前进乡、乌林乡、新农街、天北镇等。</w:t>
            </w:r>
          </w:p>
          <w:p>
            <w:pPr>
              <w:spacing w:line="400" w:lineRule="exact"/>
              <w:ind w:firstLine="422" w:firstLineChars="200"/>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蛟河市景区充电基础设施建设。</w:t>
            </w:r>
            <w:r>
              <w:rPr>
                <w:rFonts w:hint="default" w:ascii="Times New Roman" w:hAnsi="Times New Roman" w:eastAsia="仿宋_GB2312" w:cs="Times New Roman"/>
                <w:b w:val="0"/>
                <w:bCs/>
                <w:sz w:val="21"/>
                <w:szCs w:val="21"/>
                <w:lang w:eastAsia="zh-CN"/>
              </w:rPr>
              <w:t>在</w:t>
            </w:r>
            <w:r>
              <w:rPr>
                <w:rFonts w:hint="default" w:ascii="Times New Roman" w:hAnsi="Times New Roman" w:eastAsia="仿宋_GB2312" w:cs="Times New Roman"/>
                <w:b w:val="0"/>
                <w:bCs/>
                <w:sz w:val="21"/>
                <w:szCs w:val="21"/>
              </w:rPr>
              <w:t>拉</w:t>
            </w:r>
            <w:r>
              <w:rPr>
                <w:rFonts w:hint="default" w:ascii="Times New Roman" w:hAnsi="Times New Roman" w:eastAsia="仿宋_GB2312" w:cs="Times New Roman"/>
                <w:sz w:val="21"/>
                <w:szCs w:val="21"/>
              </w:rPr>
              <w:t>法山景区、红叶谷景区、白石山森林公园、红叶岭森林公园</w:t>
            </w:r>
            <w:r>
              <w:rPr>
                <w:rFonts w:hint="default" w:ascii="Times New Roman" w:hAnsi="Times New Roman" w:eastAsia="仿宋_GB2312" w:cs="Times New Roman"/>
                <w:sz w:val="21"/>
                <w:szCs w:val="21"/>
                <w:lang w:eastAsia="zh-CN"/>
              </w:rPr>
              <w:t>等</w:t>
            </w:r>
            <w:r>
              <w:rPr>
                <w:rFonts w:hint="default" w:ascii="Times New Roman" w:hAnsi="Times New Roman" w:eastAsia="仿宋_GB2312" w:cs="Times New Roman"/>
                <w:sz w:val="21"/>
                <w:szCs w:val="21"/>
              </w:rPr>
              <w:t>，建设23台120KW直流充电桩,24台22KW交流充电设施。</w:t>
            </w:r>
          </w:p>
          <w:p>
            <w:pPr>
              <w:spacing w:line="400" w:lineRule="exact"/>
              <w:ind w:firstLine="422" w:firstLineChars="200"/>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蛟河市市内充电基础设施建设。</w:t>
            </w:r>
            <w:r>
              <w:rPr>
                <w:rFonts w:hint="default" w:ascii="Times New Roman" w:hAnsi="Times New Roman" w:eastAsia="仿宋_GB2312" w:cs="Times New Roman"/>
                <w:sz w:val="21"/>
                <w:szCs w:val="21"/>
              </w:rPr>
              <w:t>16台120KW直流充电桩,16台21KW交流充电桩。建设地点：客运站、火车站、蛟龙广场、水谷广场、人民广场、西站南广场、西站北广场、蛟河服务区等。</w:t>
            </w:r>
          </w:p>
        </w:tc>
      </w:tr>
    </w:tbl>
    <w:p>
      <w:pPr>
        <w:widowControl/>
        <w:spacing w:line="240" w:lineRule="auto"/>
        <w:ind w:firstLine="0"/>
        <w:jc w:val="left"/>
        <w:rPr>
          <w:rFonts w:ascii="仿宋" w:hAnsi="仿宋"/>
          <w:sz w:val="24"/>
          <w:szCs w:val="21"/>
        </w:rPr>
      </w:pPr>
      <w:r>
        <w:rPr>
          <w:rFonts w:ascii="仿宋" w:hAnsi="仿宋"/>
          <w:sz w:val="24"/>
          <w:szCs w:val="21"/>
        </w:rPr>
        <w:br w:type="page"/>
      </w:r>
    </w:p>
    <w:p>
      <w:pPr>
        <w:pStyle w:val="4"/>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11" w:name="_Toc30890"/>
      <w:bookmarkStart w:id="112" w:name="_Toc54275590"/>
      <w:bookmarkStart w:id="113" w:name="_Toc60232824"/>
      <w:bookmarkStart w:id="114" w:name="_Toc55314901"/>
      <w:r>
        <w:rPr>
          <w:rFonts w:hint="eastAsia" w:ascii="方正小标宋简体" w:hAnsi="方正小标宋简体" w:eastAsia="方正小标宋简体" w:cs="方正小标宋简体"/>
          <w:b w:val="0"/>
          <w:bCs w:val="0"/>
          <w:sz w:val="32"/>
          <w:szCs w:val="32"/>
        </w:rPr>
        <w:t>扎实推进新型城镇化建设</w:t>
      </w:r>
      <w:bookmarkEnd w:id="111"/>
      <w:bookmarkEnd w:id="112"/>
      <w:bookmarkEnd w:id="113"/>
      <w:bookmarkEnd w:id="114"/>
    </w:p>
    <w:p>
      <w:pPr>
        <w:rPr>
          <w:rFonts w:hint="eastAsia"/>
        </w:rPr>
      </w:pPr>
    </w:p>
    <w:p>
      <w:pPr>
        <w:pageBreakBefore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按照“规划一张图、城乡全覆盖”要求，编制《蛟河市国土空间规划》，推进“多规合一”</w:t>
      </w:r>
      <w:r>
        <w:rPr>
          <w:rFonts w:hint="default" w:ascii="Times New Roman" w:hAnsi="Times New Roman" w:eastAsia="仿宋_GB2312" w:cs="Times New Roman"/>
          <w:sz w:val="32"/>
          <w:szCs w:val="32"/>
        </w:rPr>
        <w:t>，构筑全域统筹发展的空间平台。全面推进绿色城市、智慧城市、海绵城市建设，重构城市生态，协同推进新型城镇化和乡村振兴融合发展，</w:t>
      </w:r>
      <w:r>
        <w:rPr>
          <w:rFonts w:hint="default" w:ascii="Times New Roman" w:hAnsi="Times New Roman" w:eastAsia="仿宋_GB2312" w:cs="Times New Roman"/>
          <w:sz w:val="32"/>
          <w:szCs w:val="32"/>
          <w:shd w:val="clear" w:color="auto" w:fill="FFFFFF"/>
        </w:rPr>
        <w:t>保持乡村地区的发展活力，实现农业农村现代化。</w:t>
      </w:r>
    </w:p>
    <w:p>
      <w:pPr>
        <w:pStyle w:val="2"/>
        <w:rPr>
          <w:rFonts w:hint="default"/>
        </w:rPr>
      </w:pPr>
    </w:p>
    <w:p>
      <w:pPr>
        <w:pStyle w:val="5"/>
        <w:pageBreakBefore w:val="0"/>
        <w:numPr>
          <w:ilvl w:val="0"/>
          <w:numId w:val="16"/>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15" w:name="_Toc1665"/>
      <w:bookmarkStart w:id="116" w:name="_Toc55314902"/>
      <w:r>
        <w:rPr>
          <w:rFonts w:hint="eastAsia" w:ascii="方正小标宋简体" w:hAnsi="方正小标宋简体" w:eastAsia="方正小标宋简体" w:cs="方正小标宋简体"/>
          <w:b w:val="0"/>
          <w:bCs w:val="0"/>
          <w:sz w:val="32"/>
          <w:szCs w:val="32"/>
        </w:rPr>
        <w:t>持续推进新型城镇化建设</w:t>
      </w:r>
      <w:bookmarkEnd w:id="115"/>
      <w:bookmarkEnd w:id="116"/>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进一步推进城市基础设施建设。</w:t>
      </w:r>
      <w:r>
        <w:rPr>
          <w:rFonts w:hint="default" w:ascii="Times New Roman" w:hAnsi="Times New Roman" w:eastAsia="仿宋_GB2312" w:cs="Times New Roman"/>
          <w:sz w:val="32"/>
          <w:szCs w:val="32"/>
          <w:shd w:val="clear" w:color="auto" w:fill="FFFFFF"/>
        </w:rPr>
        <w:t>改造长白山大街等新老城区共计14条道路工程，新建上海路等12条道路工程，打造迎宾大道等特色街路。提标改造新老城区151个老旧小区、595栋楼，不断提升绿化、亮化标准，完善物业服务设施。新建长安大桥、永安大桥、飞越桥等3座桥梁。加大供水、供气、供热投入，改建新老城区供水、燃气、供热、通信管网，城区供水管网漏失率控制在15%以内，燃气管网覆盖率提高到80%，力争引进有实力</w:t>
      </w:r>
      <w:r>
        <w:rPr>
          <w:rFonts w:hint="default" w:ascii="Times New Roman" w:hAnsi="Times New Roman" w:eastAsia="仿宋_GB2312" w:cs="Times New Roman"/>
          <w:sz w:val="32"/>
          <w:szCs w:val="32"/>
          <w:shd w:val="clear" w:color="auto" w:fill="FFFFFF"/>
          <w:lang w:eastAsia="zh-CN"/>
        </w:rPr>
        <w:t>的</w:t>
      </w:r>
      <w:r>
        <w:rPr>
          <w:rFonts w:hint="default" w:ascii="Times New Roman" w:hAnsi="Times New Roman" w:eastAsia="仿宋_GB2312" w:cs="Times New Roman"/>
          <w:sz w:val="32"/>
          <w:szCs w:val="32"/>
          <w:shd w:val="clear" w:color="auto" w:fill="FFFFFF"/>
        </w:rPr>
        <w:t>供热企业实现“一城一网”。</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b/>
          <w:bCs/>
          <w:kern w:val="0"/>
          <w:sz w:val="32"/>
          <w:szCs w:val="32"/>
        </w:rPr>
        <w:t>积极推进海绵城市建设。</w:t>
      </w:r>
      <w:r>
        <w:rPr>
          <w:rFonts w:hint="default" w:ascii="Times New Roman" w:hAnsi="Times New Roman" w:eastAsia="仿宋_GB2312" w:cs="Times New Roman"/>
          <w:kern w:val="0"/>
          <w:sz w:val="32"/>
          <w:szCs w:val="32"/>
        </w:rPr>
        <w:t>借鉴“海绵城市+老城改造”的“白城模式”，推进蛟河海绵城市建设，探索以“老城变新城，小区变花园”的目标，全面贯彻海绵城市建设理念，新建项目全面落实海绵城市建设要求，改建项目全面跟进。综合运用下沉式绿地、调蓄设施、屋顶绿化等方式，</w:t>
      </w:r>
      <w:r>
        <w:rPr>
          <w:rFonts w:hint="default" w:ascii="Times New Roman" w:hAnsi="Times New Roman" w:eastAsia="仿宋_GB2312" w:cs="Times New Roman"/>
          <w:kern w:val="0"/>
          <w:sz w:val="32"/>
          <w:szCs w:val="32"/>
          <w:lang w:eastAsia="zh-CN"/>
        </w:rPr>
        <w:t>发挥</w:t>
      </w:r>
      <w:r>
        <w:rPr>
          <w:rFonts w:hint="default" w:ascii="Times New Roman" w:hAnsi="Times New Roman" w:eastAsia="仿宋_GB2312" w:cs="Times New Roman"/>
          <w:kern w:val="0"/>
          <w:sz w:val="32"/>
          <w:szCs w:val="32"/>
        </w:rPr>
        <w:t>绿地、水体、道路、建筑及设施对雨水的吸纳、蓄渗和缓释作用，</w:t>
      </w:r>
      <w:r>
        <w:rPr>
          <w:rFonts w:hint="default" w:ascii="Times New Roman" w:hAnsi="Times New Roman" w:eastAsia="仿宋_GB2312" w:cs="Times New Roman"/>
          <w:kern w:val="0"/>
          <w:sz w:val="32"/>
          <w:szCs w:val="32"/>
          <w:lang w:eastAsia="zh-CN"/>
        </w:rPr>
        <w:t>实现</w:t>
      </w:r>
      <w:r>
        <w:rPr>
          <w:rFonts w:hint="default" w:ascii="Times New Roman" w:hAnsi="Times New Roman" w:eastAsia="仿宋_GB2312" w:cs="Times New Roman"/>
          <w:kern w:val="0"/>
          <w:sz w:val="32"/>
          <w:szCs w:val="32"/>
        </w:rPr>
        <w:t>“一片天一片地”雨水立体消纳。</w:t>
      </w:r>
      <w:r>
        <w:rPr>
          <w:rFonts w:hint="default" w:ascii="Times New Roman" w:hAnsi="Times New Roman" w:eastAsia="仿宋_GB2312" w:cs="Times New Roman"/>
          <w:kern w:val="0"/>
          <w:sz w:val="32"/>
          <w:szCs w:val="32"/>
          <w:lang w:eastAsia="zh-CN"/>
        </w:rPr>
        <w:t>打造</w:t>
      </w:r>
      <w:r>
        <w:rPr>
          <w:rFonts w:hint="default" w:ascii="Times New Roman" w:hAnsi="Times New Roman" w:eastAsia="仿宋_GB2312" w:cs="Times New Roman"/>
          <w:kern w:val="0"/>
          <w:sz w:val="32"/>
          <w:szCs w:val="32"/>
        </w:rPr>
        <w:t>生态优美、生机盎然、宜居宜业宜乐的会呼吸的“海绵城市”。</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rPr>
        <w:t>完善城市服务功能。</w:t>
      </w:r>
      <w:r>
        <w:rPr>
          <w:rFonts w:hint="default" w:ascii="Times New Roman" w:hAnsi="Times New Roman" w:eastAsia="仿宋_GB2312" w:cs="Times New Roman"/>
          <w:sz w:val="32"/>
          <w:szCs w:val="32"/>
        </w:rPr>
        <w:t>按照园艺化、全域化、精品化要求，融合商业零售、商务办公、酒店餐饮、公寓住宅、综合娱乐五大核心功能，建设一批群众健身休闲广场，新建蛟龙公园、水谷公园、冰雪旅游综合体等项目，为市民开展文化娱乐活动、体育健身活动等提供充足场地，</w:t>
      </w:r>
      <w:r>
        <w:rPr>
          <w:rFonts w:hint="default" w:ascii="Times New Roman" w:hAnsi="Times New Roman" w:eastAsia="仿宋_GB2312" w:cs="Times New Roman"/>
          <w:sz w:val="32"/>
          <w:szCs w:val="32"/>
          <w:shd w:val="clear" w:color="auto" w:fill="FFFFFF"/>
        </w:rPr>
        <w:t>进一步提升城市服务功能，美化人居环境。</w:t>
      </w:r>
    </w:p>
    <w:p>
      <w:pPr>
        <w:pStyle w:val="2"/>
        <w:pageBreakBefore w:val="0"/>
        <w:widowControl w:val="0"/>
        <w:kinsoku/>
        <w:wordWrap/>
        <w:overflowPunct/>
        <w:topLinePunct w:val="0"/>
        <w:autoSpaceDE/>
        <w:autoSpaceDN/>
        <w:bidi w:val="0"/>
        <w:adjustRightInd/>
        <w:snapToGrid/>
        <w:spacing w:line="560" w:lineRule="exact"/>
        <w:textAlignment w:val="auto"/>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17" w:name="_Toc29461"/>
      <w:bookmarkStart w:id="118" w:name="_Toc55314903"/>
      <w:r>
        <w:rPr>
          <w:rFonts w:hint="eastAsia" w:ascii="方正小标宋简体" w:hAnsi="方正小标宋简体" w:eastAsia="方正小标宋简体" w:cs="方正小标宋简体"/>
          <w:b w:val="0"/>
          <w:bCs w:val="0"/>
          <w:sz w:val="32"/>
          <w:szCs w:val="32"/>
        </w:rPr>
        <w:t>坚持城乡融合推动乡村振兴</w:t>
      </w:r>
      <w:bookmarkEnd w:id="117"/>
      <w:bookmarkEnd w:id="118"/>
    </w:p>
    <w:p>
      <w:pPr>
        <w:pageBreakBefore w:val="0"/>
        <w:widowControl w:val="0"/>
        <w:kinsoku/>
        <w:wordWrap/>
        <w:overflowPunct/>
        <w:topLinePunct w:val="0"/>
        <w:autoSpaceDE/>
        <w:autoSpaceDN/>
        <w:bidi w:val="0"/>
        <w:adjustRightInd/>
        <w:snapToGrid/>
        <w:spacing w:line="560" w:lineRule="exact"/>
        <w:textAlignment w:val="auto"/>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城乡融合实现新突破，打造特色美丽乡村。</w:t>
      </w:r>
      <w:r>
        <w:rPr>
          <w:rFonts w:hint="default" w:ascii="Times New Roman" w:hAnsi="Times New Roman" w:eastAsia="仿宋_GB2312" w:cs="Times New Roman"/>
          <w:sz w:val="32"/>
          <w:szCs w:val="32"/>
        </w:rPr>
        <w:t>以乡村全域振兴为目标，坚持全域推进、内外兼修，抓重点、补短板、强弱项，深入实施美丽乡村建设和农村人居环境整治。统筹推进农强、民富、村美，加强农村教育、就业培训、社会保险、医疗保障、文体活动等公共事业投入，促进城乡公共资源均衡配置，不断提升</w:t>
      </w:r>
      <w:r>
        <w:rPr>
          <w:rFonts w:hint="default" w:ascii="Times New Roman" w:hAnsi="Times New Roman" w:eastAsia="仿宋_GB2312" w:cs="Times New Roman"/>
          <w:sz w:val="32"/>
          <w:szCs w:val="32"/>
          <w:shd w:val="clear" w:color="auto" w:fill="FFFFFF"/>
        </w:rPr>
        <w:t>美丽乡村文化内涵</w:t>
      </w:r>
      <w:r>
        <w:rPr>
          <w:rFonts w:hint="default" w:ascii="Times New Roman" w:hAnsi="Times New Roman" w:eastAsia="仿宋_GB2312" w:cs="Times New Roman"/>
          <w:sz w:val="32"/>
          <w:szCs w:val="32"/>
        </w:rPr>
        <w:t>。按照乡村产业特色，</w:t>
      </w:r>
      <w:r>
        <w:rPr>
          <w:rFonts w:hint="default" w:ascii="Times New Roman" w:hAnsi="Times New Roman" w:eastAsia="仿宋_GB2312" w:cs="Times New Roman"/>
          <w:sz w:val="32"/>
          <w:szCs w:val="32"/>
          <w:shd w:val="clear" w:color="auto" w:fill="FFFFFF"/>
        </w:rPr>
        <w:t>积极引入工商资本，夯实产业基础，</w:t>
      </w:r>
      <w:r>
        <w:rPr>
          <w:rFonts w:hint="default" w:ascii="Times New Roman" w:hAnsi="Times New Roman" w:eastAsia="仿宋_GB2312" w:cs="Times New Roman"/>
          <w:sz w:val="32"/>
          <w:szCs w:val="32"/>
        </w:rPr>
        <w:t>建设一批特色产业小镇，大力发展乡村经济、提升乡村水平，着力建设一批经济繁荣、设施完善、生态文明、环境优美的新型乡村，逐步缩小城乡差距</w:t>
      </w:r>
      <w:r>
        <w:rPr>
          <w:rFonts w:hint="default" w:ascii="Times New Roman" w:hAnsi="Times New Roman" w:eastAsia="仿宋_GB2312" w:cs="Times New Roman"/>
          <w:sz w:val="32"/>
          <w:szCs w:val="32"/>
          <w:shd w:val="clear" w:color="auto" w:fill="FFFFFF"/>
        </w:rPr>
        <w:t>。持续</w:t>
      </w:r>
      <w:r>
        <w:rPr>
          <w:rFonts w:hint="default" w:ascii="Times New Roman" w:hAnsi="Times New Roman" w:eastAsia="仿宋_GB2312" w:cs="Times New Roman"/>
          <w:sz w:val="32"/>
          <w:szCs w:val="32"/>
        </w:rPr>
        <w:t>深化农业供给侧结构性改革，大力发展科技农业、绿色农业、质量农业、品牌农业，提高农业质量、效益和竞争力。加快农业结构调整，培育食用菌、晒烟、瓜果、蔬菜、中药材等特色产业。分片区创建美丽乡村50个、标准化农村人居环境示范村100个、干净人家7.5万户。</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rPr>
        <w:t>释放城乡融合潜力，完善乡村基础设施建设。</w:t>
      </w:r>
      <w:r>
        <w:rPr>
          <w:rFonts w:hint="default" w:ascii="Times New Roman" w:hAnsi="Times New Roman" w:eastAsia="仿宋_GB2312" w:cs="Times New Roman"/>
          <w:sz w:val="32"/>
          <w:szCs w:val="32"/>
        </w:rPr>
        <w:t>新改建农村公路677公里，争创“四好农村路”全国示范县。加快农村水利基本建设，加强水源保护与污水处理，实施水资源优化配置，提高农业用水保障程度，加快水电资源开发，推动蛟河蓄能电站尽快投入使用。实施农村饮水安全巩固提升工程，新建和维修改造农村集中式供水设施207处，农村自来水普及率达到95%。完成松江镇、黄松甸镇、天北镇、庆岭镇污水处理设施建设。新建天岗石材产业园区配套道路7条。重点打造和建设庆岭冰酒小镇、天岗花岩特色小镇和黄松甸黑木耳特色小镇，建设美丽幸福家园</w:t>
      </w:r>
      <w:r>
        <w:rPr>
          <w:rFonts w:hint="default" w:ascii="Times New Roman" w:hAnsi="Times New Roman" w:eastAsia="仿宋_GB2312" w:cs="Times New Roman"/>
          <w:sz w:val="32"/>
          <w:szCs w:val="32"/>
          <w:lang w:eastAsia="zh-CN"/>
        </w:rPr>
        <w:t>。</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实施乡村振兴战略，深化农业农村改革。</w:t>
      </w:r>
      <w:r>
        <w:rPr>
          <w:rFonts w:hint="default" w:ascii="Times New Roman" w:hAnsi="Times New Roman" w:eastAsia="仿宋_GB2312" w:cs="Times New Roman"/>
          <w:sz w:val="32"/>
          <w:szCs w:val="32"/>
        </w:rPr>
        <w:t>落实第二轮土地承包到期后再延长三十年政策。巩固承包地“三权分置”改革成果，有序开展土地经营权流转，推动承包土地经营权抵押融资工作。积极扶持农民合作社、家庭农场、龙头企业等新型经营主体，创建省级示范社5个、吉林市级示范社15个、县级示范社30个；新发展家庭农场达到1000个；推动金亿食品、得利斯食品等4家企业晋升为省市级龙头企业，省市级产业化龙头企业达到37家。扎实开展宅基地使用权确权登记颁证，探索宅基地所有权、资格权、使用权“三权分置”实现形式，建立公平合理的增值收益分配机制，增加农民财产性收入。深化农村集体产权制度改革，引进城市工商资本，发展多种形式的股份合作，逐步壮大农村集体经济。深化供销社综合改革，提高为农服务能力。推进农业综合行政执法改革，完善执法体系，提高执法效能。</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b w:val="0"/>
          <w:bCs w:val="0"/>
          <w:sz w:val="32"/>
          <w:szCs w:val="32"/>
          <w:shd w:val="clear" w:color="auto" w:fill="FFFFFF"/>
        </w:rPr>
      </w:pPr>
      <w:r>
        <w:rPr>
          <w:rFonts w:hint="default" w:ascii="Times New Roman" w:hAnsi="Times New Roman" w:eastAsia="仿宋_GB2312" w:cs="Times New Roman"/>
          <w:b/>
          <w:bCs/>
          <w:sz w:val="32"/>
          <w:szCs w:val="32"/>
          <w:shd w:val="clear" w:color="auto" w:fill="FFFFFF"/>
        </w:rPr>
        <w:t>实施乡村振兴战略， 培养多元化乡村人才。</w:t>
      </w:r>
      <w:r>
        <w:rPr>
          <w:rFonts w:hint="default" w:ascii="Times New Roman" w:hAnsi="Times New Roman" w:eastAsia="仿宋_GB2312" w:cs="Times New Roman"/>
          <w:b w:val="0"/>
          <w:bCs w:val="0"/>
          <w:sz w:val="32"/>
          <w:szCs w:val="32"/>
          <w:shd w:val="clear" w:color="auto" w:fill="FFFFFF"/>
        </w:rPr>
        <w:t>实施新型职业农民培育工程，积极鼓励生产经营型、专业技能型、社会服务型职业农民参加培训。对基层农技推广体系中的农业技术人员和农村各类实用技术人才，实施乡村科技人才培育工程。积极发掘和培养乡土人才，加大培</w:t>
      </w:r>
      <w:r>
        <w:rPr>
          <w:rFonts w:hint="default" w:ascii="Times New Roman" w:hAnsi="Times New Roman" w:eastAsia="仿宋_GB2312" w:cs="Times New Roman"/>
          <w:b w:val="0"/>
          <w:bCs w:val="0"/>
          <w:sz w:val="32"/>
          <w:szCs w:val="32"/>
          <w:shd w:val="clear" w:color="auto" w:fill="FFFFFF"/>
          <w:lang w:eastAsia="zh-CN"/>
        </w:rPr>
        <w:t>养</w:t>
      </w:r>
      <w:r>
        <w:rPr>
          <w:rFonts w:hint="default" w:ascii="Times New Roman" w:hAnsi="Times New Roman" w:eastAsia="仿宋_GB2312" w:cs="Times New Roman"/>
          <w:b w:val="0"/>
          <w:bCs w:val="0"/>
          <w:sz w:val="32"/>
          <w:szCs w:val="32"/>
          <w:shd w:val="clear" w:color="auto" w:fill="FFFFFF"/>
        </w:rPr>
        <w:t>经营的“农创客”、懂技术的“田秀才”、职业“新农人”和“土专家”。让土生土长的乡土人才、四面八方的下乡人才留得安心，发展更有信心。</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b w:val="0"/>
          <w:bCs w:val="0"/>
          <w:sz w:val="32"/>
          <w:szCs w:val="32"/>
          <w:shd w:val="clear" w:color="auto" w:fill="FFFFFF"/>
        </w:rPr>
      </w:pPr>
      <w:r>
        <w:rPr>
          <w:rFonts w:hint="default" w:ascii="Times New Roman" w:hAnsi="Times New Roman" w:eastAsia="仿宋_GB2312" w:cs="Times New Roman"/>
          <w:b/>
          <w:bCs/>
          <w:sz w:val="32"/>
          <w:szCs w:val="32"/>
          <w:shd w:val="clear" w:color="auto" w:fill="FFFFFF"/>
        </w:rPr>
        <w:t>实施乡村振兴战略，推进乡村精神文明建设。</w:t>
      </w:r>
      <w:r>
        <w:rPr>
          <w:rFonts w:hint="default" w:ascii="Times New Roman" w:hAnsi="Times New Roman" w:eastAsia="仿宋_GB2312" w:cs="Times New Roman"/>
          <w:b w:val="0"/>
          <w:bCs w:val="0"/>
          <w:sz w:val="32"/>
          <w:szCs w:val="32"/>
          <w:shd w:val="clear" w:color="auto" w:fill="FFFFFF"/>
        </w:rPr>
        <w:t>推进文明村镇、文明家庭创建，实施核心价值观培育提升、农村思想道德建设提升、社会风尚引领提升和公共文化服务优化提升行动，培育文明乡风、良好家风、淳朴民风，焕发乡村文明新气象。持续实施公民道德建设工程，广泛宣传爱国、敬业、诚信、友善等中华优秀传统美德。深化移风易俗行动，提倡树立崇尚节俭的文明新风，通过宣传在群众中树立新事新办、丧事简办、厚养薄葬的意识，努力形成移风易俗反对红白喜事大操大办的氛围。深化遵德守礼行动，提倡行为举止文明谦让，全面加强乡风文明建设。</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b w:val="0"/>
          <w:bCs w:val="0"/>
          <w:sz w:val="32"/>
          <w:szCs w:val="32"/>
          <w:shd w:val="clear" w:color="auto" w:fill="FFFFFF"/>
        </w:rPr>
      </w:pPr>
      <w:r>
        <w:rPr>
          <w:rFonts w:hint="default" w:ascii="Times New Roman" w:hAnsi="Times New Roman" w:eastAsia="仿宋_GB2312" w:cs="Times New Roman"/>
          <w:b/>
          <w:bCs/>
          <w:sz w:val="32"/>
          <w:szCs w:val="32"/>
          <w:shd w:val="clear" w:color="auto" w:fill="FFFFFF"/>
        </w:rPr>
        <w:t>实施乡村振兴战略，加强乡村生态文明建设。</w:t>
      </w:r>
      <w:r>
        <w:rPr>
          <w:rFonts w:hint="default" w:ascii="Times New Roman" w:hAnsi="Times New Roman" w:eastAsia="仿宋_GB2312" w:cs="Times New Roman"/>
          <w:b w:val="0"/>
          <w:bCs w:val="0"/>
          <w:sz w:val="32"/>
          <w:szCs w:val="32"/>
          <w:shd w:val="clear" w:color="auto" w:fill="FFFFFF"/>
        </w:rPr>
        <w:t>牢固树立和践行“绿水青山就是金山银山”理念，落实节约优先、保护优先、自然恢复为主的方针，统筹山水林田湖草系统治理，严守生态保护红线，加大留白增绿和拆违还绿力度，不断扩大绿色生态空间，提升乡村生态环境质量和容量。全面落实“三清一改一建”、“人居环境整治提升”任务，加强人居环境整治，着力完善农村生活垃圾收转运体系、畜禽粪污收转运体系、农村污水收转运体系，实现城乡环卫一体化和市域生活垃圾统一处理长效化。到2025年，创建AAA级标准农村人居环境示范村100个，农村户用卫生厕所普及率达到100%。推进绿路旁、绿广场、绿庭院“三绿”建设，实现村屯绿化美化全覆盖。</w:t>
      </w:r>
      <w:r>
        <w:rPr>
          <w:rFonts w:hint="default" w:ascii="Times New Roman" w:hAnsi="Times New Roman" w:eastAsia="仿宋_GB2312" w:cs="Times New Roman"/>
          <w:b w:val="0"/>
          <w:bCs w:val="0"/>
          <w:sz w:val="32"/>
          <w:szCs w:val="32"/>
          <w:shd w:val="clear" w:color="auto" w:fill="FFFFFF"/>
          <w:lang w:eastAsia="zh-CN"/>
        </w:rPr>
        <w:t>继续</w:t>
      </w:r>
      <w:r>
        <w:rPr>
          <w:rFonts w:hint="default" w:ascii="Times New Roman" w:hAnsi="Times New Roman" w:eastAsia="仿宋_GB2312" w:cs="Times New Roman"/>
          <w:b w:val="0"/>
          <w:bCs w:val="0"/>
          <w:sz w:val="32"/>
          <w:szCs w:val="32"/>
          <w:shd w:val="clear" w:color="auto" w:fill="FFFFFF"/>
        </w:rPr>
        <w:t>扎实开展“美丽庭院、干净人家”创建活动。</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bCs/>
          <w:sz w:val="32"/>
          <w:szCs w:val="32"/>
          <w:shd w:val="clear" w:color="auto" w:fill="FFFFFF"/>
        </w:rPr>
        <w:t>实施乡村振兴战略，加强乡村党政建设。</w:t>
      </w:r>
      <w:r>
        <w:rPr>
          <w:rFonts w:hint="default" w:ascii="Times New Roman" w:hAnsi="Times New Roman" w:eastAsia="仿宋_GB2312" w:cs="Times New Roman"/>
          <w:b w:val="0"/>
          <w:bCs w:val="0"/>
          <w:sz w:val="32"/>
          <w:szCs w:val="32"/>
          <w:shd w:val="clear" w:color="auto" w:fill="FFFFFF"/>
        </w:rPr>
        <w:t>坚持党管农村、协调各方。毫不动摇地坚持和加强党对农村工作的领导，健全以党的基层组织为核心、村民自治和村务监督组织为基础、集体经济组织和农民合作组织为纽带、各类经济社会组织为补充的农村组织体系和村级组织运行模式，确保党在农村工作中始终总揽全局、协调各方，为乡村振兴提供坚强有力的政治保障</w:t>
      </w:r>
      <w:r>
        <w:rPr>
          <w:rFonts w:hint="default" w:ascii="Times New Roman" w:hAnsi="Times New Roman" w:eastAsia="仿宋_GB2312" w:cs="Times New Roman"/>
          <w:b w:val="0"/>
          <w:bCs w:val="0"/>
          <w:sz w:val="32"/>
          <w:szCs w:val="32"/>
        </w:rPr>
        <w:t xml:space="preserve">。 </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19" w:name="_Toc55314953"/>
      <w:bookmarkStart w:id="120" w:name="_Toc12542"/>
      <w:r>
        <w:rPr>
          <w:rStyle w:val="62"/>
          <w:rFonts w:hint="eastAsia" w:ascii="方正小标宋简体" w:hAnsi="方正小标宋简体" w:eastAsia="方正小标宋简体" w:cs="方正小标宋简体"/>
          <w:b w:val="0"/>
          <w:bCs w:val="0"/>
          <w:sz w:val="32"/>
          <w:szCs w:val="32"/>
        </w:rPr>
        <w:t>持续巩固脱贫攻坚成果</w:t>
      </w:r>
      <w:bookmarkEnd w:id="119"/>
      <w:bookmarkEnd w:id="120"/>
    </w:p>
    <w:p>
      <w:pPr>
        <w:rPr>
          <w:rFonts w:hint="default"/>
        </w:rPr>
      </w:pP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做好巩固拓展脱贫攻坚成果同乡村振兴有效衔接。支持乡村特色产业壮大发展，提升并推动现有扶贫产业融入乡村特色产业。</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落实“四个不摘”工作要求。</w:t>
      </w:r>
      <w:r>
        <w:rPr>
          <w:rFonts w:hint="default" w:ascii="Times New Roman" w:hAnsi="Times New Roman" w:eastAsia="仿宋_GB2312" w:cs="Times New Roman"/>
          <w:sz w:val="32"/>
          <w:szCs w:val="32"/>
        </w:rPr>
        <w:t>坚决落实“四个不摘”要求，设立巩固拓展脱贫攻坚成果的5年过渡期，持续用力巩固提升脱贫攻坚成果。对已“摘帽”的25个贫困村和已脱贫</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8014名贫困人口开展全面排查，认真查找漏洞缺项，保持现有帮扶政策的总体稳定性、连续性，严格做到摘帽不摘责任、摘帽不摘政策、摘帽不摘帮扶、摘帽不摘监管，确保扶贫政策保持总体稳定。从严从实从细做好各项工作，全面提高脱贫质量、巩固脱贫成果。</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建立健全防返贫工作机制。</w:t>
      </w:r>
      <w:r>
        <w:rPr>
          <w:rFonts w:hint="default" w:ascii="Times New Roman" w:hAnsi="Times New Roman" w:eastAsia="仿宋_GB2312" w:cs="Times New Roman"/>
          <w:sz w:val="32"/>
          <w:szCs w:val="32"/>
        </w:rPr>
        <w:t>围绕“两不愁三保障”实现标准，统筹政府、市场和社会资源，全面监测、及时预警，建立防止返贫监测和帮扶机制，提前介入、事前帮扶，巩固脱贫成果、保障稳定脱贫。对建档立卡贫困户中已脱贫但有返贫风险的不稳定户和非建档立卡贫困户中收入略高于建档立卡贫困户但有致贫风险的边缘户，变事后帮扶为事前预防与事后帮扶相结合，及时发现风险，及时落实帮扶措施。建立骤贫处置工作机制，对监测对象已降至贫困识别条件的，及时纳入建档立卡贫困人口管理，确保实现应纳尽纳，应扶尽扶，持续巩固拓展脱贫攻坚成果，实现同乡村振兴有效衔接。</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持续发展扶贫产业项目。</w:t>
      </w:r>
      <w:r>
        <w:rPr>
          <w:rFonts w:hint="default" w:ascii="Times New Roman" w:hAnsi="Times New Roman" w:eastAsia="仿宋_GB2312" w:cs="Times New Roman"/>
          <w:sz w:val="32"/>
          <w:szCs w:val="32"/>
        </w:rPr>
        <w:t>做好项目库建设，强化项目储备能力，科学用好每年的扶贫产业发展资金，保持收益稳定。按照市、乡（镇）、村、户“四级产业全覆盖”思路，分类施策推进产业扶贫，完善落实到户产业发展奖补政策，聚焦偏远村落，安排资金推进巩固提升。</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精准用好带贫益贫资金。</w:t>
      </w:r>
      <w:r>
        <w:rPr>
          <w:rFonts w:hint="default" w:ascii="Times New Roman" w:hAnsi="Times New Roman" w:eastAsia="仿宋_GB2312" w:cs="Times New Roman"/>
          <w:sz w:val="32"/>
          <w:szCs w:val="32"/>
        </w:rPr>
        <w:t>围绕智志双扶工作主线，持续发展好市、乡、村、户四级扶贫产业项目，逐年提升贫困户发展“五星创建”、“四小工程”比例，激发贫困群众的内生动力。扩大扶贫公益岗位开发，加大全社会消费扶贫力度，不断巩固提升贫困户收入水平。严格落实《蛟河市扶贫产业项目收益资金管理办法》和《蛟河市分布式光伏收益资金管理办法》，防止出现福利陷阱和悬崖效应。</w:t>
      </w: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专栏1</w:t>
            </w:r>
            <w:r>
              <w:rPr>
                <w:rFonts w:hint="default" w:ascii="Times New Roman" w:hAnsi="Times New Roman" w:eastAsia="仿宋_GB2312" w:cs="Times New Roman"/>
                <w:b/>
                <w:bCs/>
                <w:sz w:val="21"/>
                <w:szCs w:val="21"/>
                <w:lang w:val="en-US" w:eastAsia="zh-CN"/>
              </w:rPr>
              <w:t>5</w:t>
            </w:r>
            <w:r>
              <w:rPr>
                <w:rFonts w:hint="default" w:ascii="Times New Roman" w:hAnsi="Times New Roman" w:eastAsia="仿宋_GB2312" w:cs="Times New Roman"/>
                <w:b/>
                <w:bCs/>
                <w:sz w:val="21"/>
                <w:szCs w:val="21"/>
              </w:rPr>
              <w:t xml:space="preserve">  城镇化建设重点项目</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农村污水处理设施。</w:t>
            </w:r>
            <w:r>
              <w:rPr>
                <w:rFonts w:hint="default" w:ascii="Times New Roman" w:hAnsi="Times New Roman" w:eastAsia="仿宋_GB2312" w:cs="Times New Roman"/>
                <w:sz w:val="21"/>
                <w:szCs w:val="21"/>
              </w:rPr>
              <w:t>完成黄松甸镇、庆岭镇、松江镇、天北镇污水处理设施建设。</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生活垃圾处理。</w:t>
            </w:r>
            <w:r>
              <w:rPr>
                <w:rFonts w:hint="default" w:ascii="Times New Roman" w:hAnsi="Times New Roman" w:eastAsia="仿宋_GB2312" w:cs="Times New Roman"/>
                <w:sz w:val="21"/>
                <w:szCs w:val="21"/>
              </w:rPr>
              <w:t>新建垃圾焚烧发电厂，日处理生活垃圾500吨。</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庆岭冰酒小镇建设。</w:t>
            </w:r>
            <w:r>
              <w:rPr>
                <w:rFonts w:hint="default" w:ascii="Times New Roman" w:hAnsi="Times New Roman" w:eastAsia="仿宋_GB2312" w:cs="Times New Roman"/>
                <w:sz w:val="21"/>
                <w:szCs w:val="21"/>
              </w:rPr>
              <w:t>建设冰酒小镇</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包括酒庄、冰酒博物馆、特色景观园、葡萄采摘园、冰酒展示中心等。</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天岗花岗岩小镇建设。</w:t>
            </w:r>
            <w:r>
              <w:rPr>
                <w:rFonts w:hint="default" w:ascii="Times New Roman" w:hAnsi="Times New Roman" w:eastAsia="仿宋_GB2312" w:cs="Times New Roman"/>
                <w:sz w:val="21"/>
                <w:szCs w:val="21"/>
              </w:rPr>
              <w:t>打造花岗岩特色小镇，建设以花岗岩为主的标志广场、景区小品；提升小镇基础设施建设。</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黄松甸食用菌小镇建设。</w:t>
            </w:r>
            <w:r>
              <w:rPr>
                <w:rFonts w:hint="default" w:ascii="Times New Roman" w:hAnsi="Times New Roman" w:eastAsia="仿宋_GB2312" w:cs="Times New Roman"/>
                <w:sz w:val="21"/>
                <w:szCs w:val="21"/>
              </w:rPr>
              <w:t>以黄松甸为核心，建设黑木耳全产业链，包括菌种研发中心、可追溯产业基地、检验检测中心、交易中心；建设黑木耳标志性广场、展览馆、博物馆等小镇设施。以该小镇建设为契机，全面打造蛟河市食用菌绿色有机食品园区。</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前进森林康养小镇建设。</w:t>
            </w:r>
            <w:r>
              <w:rPr>
                <w:rFonts w:hint="default" w:ascii="Times New Roman" w:hAnsi="Times New Roman" w:eastAsia="仿宋_GB2312" w:cs="Times New Roman"/>
                <w:sz w:val="21"/>
                <w:szCs w:val="21"/>
              </w:rPr>
              <w:t>结合森林康养旅游产业，对景区设施进行整体提升，打造康养旅居产品，建设休闲度假等项目。</w:t>
            </w:r>
          </w:p>
        </w:tc>
      </w:tr>
    </w:tbl>
    <w:p>
      <w:pPr>
        <w:pStyle w:val="55"/>
      </w:pPr>
      <w:r>
        <w:br w:type="page"/>
      </w:r>
    </w:p>
    <w:p>
      <w:pPr>
        <w:pStyle w:val="4"/>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21" w:name="_Toc60232825"/>
      <w:bookmarkStart w:id="122" w:name="_Toc54275591"/>
      <w:bookmarkStart w:id="123" w:name="_Toc23170"/>
      <w:bookmarkStart w:id="124" w:name="_Toc55314904"/>
      <w:r>
        <w:rPr>
          <w:rFonts w:hint="eastAsia" w:ascii="方正小标宋简体" w:hAnsi="方正小标宋简体" w:eastAsia="方正小标宋简体" w:cs="方正小标宋简体"/>
          <w:b w:val="0"/>
          <w:bCs w:val="0"/>
          <w:sz w:val="32"/>
          <w:szCs w:val="32"/>
        </w:rPr>
        <w:t>全面推进重大工程建设</w:t>
      </w:r>
      <w:bookmarkEnd w:id="121"/>
      <w:bookmarkEnd w:id="122"/>
      <w:bookmarkEnd w:id="123"/>
      <w:bookmarkEnd w:id="124"/>
    </w:p>
    <w:p>
      <w:pPr>
        <w:pStyle w:val="5"/>
        <w:pageBreakBefore w:val="0"/>
        <w:numPr>
          <w:ilvl w:val="0"/>
          <w:numId w:val="17"/>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25" w:name="_Toc10668"/>
      <w:bookmarkStart w:id="126" w:name="_Toc55314905"/>
      <w:r>
        <w:rPr>
          <w:rFonts w:hint="eastAsia" w:ascii="方正小标宋简体" w:hAnsi="方正小标宋简体" w:eastAsia="方正小标宋简体" w:cs="方正小标宋简体"/>
          <w:b w:val="0"/>
          <w:bCs w:val="0"/>
          <w:sz w:val="32"/>
          <w:szCs w:val="32"/>
        </w:rPr>
        <w:t>构建现代综合交通体系</w:t>
      </w:r>
      <w:bookmarkEnd w:id="125"/>
      <w:bookmarkEnd w:id="126"/>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完善区域公路网络。</w:t>
      </w:r>
      <w:r>
        <w:rPr>
          <w:rFonts w:hint="default" w:ascii="Times New Roman" w:hAnsi="Times New Roman" w:eastAsia="仿宋_GB2312" w:cs="Times New Roman"/>
          <w:sz w:val="32"/>
          <w:szCs w:val="32"/>
        </w:rPr>
        <w:t>加快主骨架公路建设步伐，着力提高交通运输发展质量和效益，配套建设市内交通设施，大幅度改善市内交通运输条件，提升通达能力。加快国省干线升级改造，加大乡镇公路道路桥涵配套工程、农村公路断头路联网工程建设，加强旅游道路建设，注重客运站点服务设施建设。</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强化公路养化管理。</w:t>
      </w:r>
      <w:r>
        <w:rPr>
          <w:rFonts w:hint="default" w:ascii="Times New Roman" w:hAnsi="Times New Roman" w:eastAsia="仿宋_GB2312" w:cs="Times New Roman"/>
          <w:sz w:val="32"/>
          <w:szCs w:val="32"/>
          <w:shd w:val="clear" w:color="auto" w:fill="FFFFFF"/>
        </w:rPr>
        <w:t>实施农村公路使用年限大修、公路危桥改造、安保工程建设和绿化。加强公路日常养护，坚持日常养护经常化和全面养护标准化，确保路况良好、车辆通行安全，基本达到“畅、洁、绿、美、安”的要求。</w:t>
      </w:r>
    </w:p>
    <w:p>
      <w:pPr>
        <w:pStyle w:val="57"/>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构建全新铁路网络</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升级改造高铁西客站，</w:t>
      </w:r>
      <w:r>
        <w:rPr>
          <w:rFonts w:hint="default" w:ascii="Times New Roman" w:hAnsi="Times New Roman" w:eastAsia="仿宋_GB2312" w:cs="Times New Roman"/>
          <w:sz w:val="32"/>
          <w:szCs w:val="32"/>
        </w:rPr>
        <w:t>进一步发挥高铁枢纽作用</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rPr>
        <w:t>全面加快铁路建设步伐，提升铁路运输能力。加快天岗石材产业园铁路运输枢纽工程建设，加强交通运输与产业配套衔接。</w:t>
      </w:r>
    </w:p>
    <w:p>
      <w:pPr>
        <w:pStyle w:val="57"/>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sz w:val="32"/>
          <w:szCs w:val="32"/>
        </w:rPr>
        <w:t>全力完善乡村交通</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优化城区道路内循环，打通“断头路”，提升城区道路畅通能力。发展城市公交，初步形成以“干线公交为主体，出租车为补充”的城市公共交通网络系统</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同时推动城乡交通一体化，初步实现人口密集区、城市近郊区农村客运公交化</w:t>
      </w:r>
      <w:r>
        <w:rPr>
          <w:rFonts w:hint="default" w:ascii="Times New Roman" w:hAnsi="Times New Roman" w:eastAsia="仿宋_GB2312" w:cs="Times New Roman"/>
          <w:sz w:val="32"/>
          <w:szCs w:val="32"/>
        </w:rPr>
        <w:t>，鼓励城市公交向乡镇延伸。大力实施农村公路提升改造建设，农村公路实</w:t>
      </w:r>
      <w:r>
        <w:rPr>
          <w:rFonts w:hint="default" w:ascii="Times New Roman" w:hAnsi="Times New Roman" w:eastAsia="仿宋_GB2312" w:cs="Times New Roman"/>
          <w:sz w:val="32"/>
          <w:szCs w:val="32"/>
          <w:shd w:val="clear" w:color="auto" w:fill="FFFFFF"/>
        </w:rPr>
        <w:t>现全面通村畅乡。增加城市至乡镇至农村车辆班次，提高农村客运班车通达率，形成较为完善的农村客运网络，实现交通方式无缝对接。</w:t>
      </w:r>
    </w:p>
    <w:p>
      <w:pPr>
        <w:pStyle w:val="57"/>
        <w:spacing w:line="360" w:lineRule="auto"/>
        <w:rPr>
          <w:shd w:val="clear" w:color="auto" w:fill="FFFFFF"/>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400" w:lineRule="exact"/>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专栏1</w:t>
            </w:r>
            <w:r>
              <w:rPr>
                <w:rFonts w:hint="default" w:ascii="Times New Roman" w:hAnsi="Times New Roman" w:eastAsia="仿宋_GB2312" w:cs="Times New Roman"/>
                <w:b/>
                <w:bCs/>
                <w:sz w:val="21"/>
                <w:szCs w:val="21"/>
                <w:lang w:val="en-US" w:eastAsia="zh-CN"/>
              </w:rPr>
              <w:t>6</w:t>
            </w:r>
            <w:r>
              <w:rPr>
                <w:rFonts w:hint="default" w:ascii="Times New Roman" w:hAnsi="Times New Roman" w:eastAsia="仿宋_GB2312" w:cs="Times New Roman"/>
                <w:b/>
                <w:bCs/>
                <w:sz w:val="21"/>
                <w:szCs w:val="21"/>
              </w:rPr>
              <w:t xml:space="preserve"> 交通基础设施重点项目</w:t>
            </w:r>
          </w:p>
          <w:p>
            <w:pPr>
              <w:pStyle w:val="55"/>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G302国道珲阿线威虎岭至白石山段公路改建。</w:t>
            </w:r>
            <w:r>
              <w:rPr>
                <w:rFonts w:hint="default" w:ascii="Times New Roman" w:hAnsi="Times New Roman" w:eastAsia="仿宋_GB2312" w:cs="Times New Roman"/>
                <w:sz w:val="21"/>
                <w:szCs w:val="21"/>
              </w:rPr>
              <w:t>总投资2.8亿元，总里程26.7公里。</w:t>
            </w:r>
          </w:p>
          <w:p>
            <w:pPr>
              <w:pStyle w:val="55"/>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S508省道蛟河至凤凰山公路改建。</w:t>
            </w:r>
            <w:r>
              <w:rPr>
                <w:rFonts w:hint="default" w:ascii="Times New Roman" w:hAnsi="Times New Roman" w:eastAsia="仿宋_GB2312" w:cs="Times New Roman"/>
                <w:sz w:val="21"/>
                <w:szCs w:val="21"/>
              </w:rPr>
              <w:t>总投资7.5亿元，总里程62公里，其中蛟河境内51.5公里。</w:t>
            </w:r>
          </w:p>
          <w:p>
            <w:pPr>
              <w:pStyle w:val="55"/>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高速公路连接线改造项目。</w:t>
            </w:r>
            <w:r>
              <w:rPr>
                <w:rFonts w:hint="default" w:ascii="Times New Roman" w:hAnsi="Times New Roman" w:eastAsia="仿宋_GB2312" w:cs="Times New Roman"/>
                <w:sz w:val="21"/>
                <w:szCs w:val="21"/>
              </w:rPr>
              <w:t>对蛟河、天岗、新站、黄松甸等4个高速出口连接线进行改建，改建长度5.2公里，总面积为78000平方米。</w:t>
            </w:r>
          </w:p>
          <w:p>
            <w:pPr>
              <w:pStyle w:val="55"/>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“四好”农村公路建设。</w:t>
            </w:r>
            <w:r>
              <w:rPr>
                <w:rFonts w:hint="default" w:ascii="Times New Roman" w:hAnsi="Times New Roman" w:eastAsia="仿宋_GB2312" w:cs="Times New Roman"/>
                <w:sz w:val="21"/>
                <w:szCs w:val="21"/>
              </w:rPr>
              <w:t>总投资6.25亿元，总里程676公里，改建农村公路桥梁15座。</w:t>
            </w:r>
          </w:p>
        </w:tc>
      </w:tr>
    </w:tbl>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420" w:leftChars="0"/>
        <w:jc w:val="both"/>
        <w:textAlignment w:val="auto"/>
        <w:rPr>
          <w:rFonts w:hint="default" w:ascii="Times New Roman" w:hAnsi="Times New Roman" w:eastAsia="仿宋_GB2312" w:cs="Times New Roman"/>
          <w:sz w:val="32"/>
          <w:szCs w:val="32"/>
        </w:rPr>
      </w:pPr>
      <w:bookmarkStart w:id="127" w:name="_Toc55314906"/>
      <w:bookmarkStart w:id="128" w:name="_Toc14528"/>
    </w:p>
    <w:p>
      <w:pPr>
        <w:pStyle w:val="5"/>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jc w:val="center"/>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eastAsia="zh-CN"/>
        </w:rPr>
        <w:t>第二节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提升供电保障能力</w:t>
      </w:r>
      <w:bookmarkEnd w:id="127"/>
      <w:bookmarkEnd w:id="128"/>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b/>
          <w:bCs/>
          <w:sz w:val="32"/>
          <w:szCs w:val="32"/>
          <w:lang w:val="zh-CN"/>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zh-CN"/>
        </w:rPr>
        <w:t>优化完善电网结构</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贯彻落实国家发展改革委、国家能源局《</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"http://zfxxgk.nea.gov.cn/2020-05/28/c_139148246.htm" \t "_blank"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关于加强和规范电网规划投资管理工作的通知</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》。进一步强化电力统筹规划，着力提高电力保障能力，加强电网安全运行能力建设，优化和完善市域电网结构。</w:t>
      </w:r>
      <w:r>
        <w:rPr>
          <w:rFonts w:hint="default" w:ascii="Times New Roman" w:hAnsi="Times New Roman" w:eastAsia="仿宋_GB2312" w:cs="Times New Roman"/>
          <w:sz w:val="32"/>
          <w:szCs w:val="32"/>
          <w:lang w:val="zh-CN"/>
        </w:rPr>
        <w:t>将电网建设工程纳入全市重点工程建设计划，科学规划电网，合理增加变电站布点，提升电网供电能力。</w:t>
      </w:r>
      <w:r>
        <w:rPr>
          <w:rFonts w:hint="default" w:ascii="Times New Roman" w:hAnsi="Times New Roman" w:eastAsia="仿宋_GB2312" w:cs="Times New Roman"/>
          <w:sz w:val="32"/>
          <w:szCs w:val="32"/>
          <w:shd w:val="clear" w:color="auto" w:fill="FFFFFF"/>
        </w:rPr>
        <w:t>对电网进行精细化管理，全面完成智能化电网工作。</w:t>
      </w:r>
      <w:r>
        <w:rPr>
          <w:rFonts w:hint="default" w:ascii="Times New Roman" w:hAnsi="Times New Roman" w:eastAsia="仿宋_GB2312" w:cs="Times New Roman"/>
          <w:sz w:val="32"/>
          <w:szCs w:val="32"/>
        </w:rPr>
        <w:t>加快推进相关电力项目建设，提升电力系统整体效率，推动电力绿色转型升级，加快绿色煤电建设，满足全市产业发展和经济建设等发展需求，着力打造绿色、低碳、环保、安全、稳定、可靠的坚强智能电网。做好招商引资和能源消纳工作，进一步完善蛟河电网建设。做好电网负荷预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结合市政规划方案，实行分时、分区、分专业预测，对不同区域的负荷分布、年度电网负荷变化等进行分项预测，促进电网结构优化的科学性。实施新一轮农村电网改造升级，全面提升农村供电保障水平。完善监测机制，打通供电最后一公里，提升供电服务质效，提高农网供电可靠率，降低农村用电成本。</w:t>
      </w:r>
    </w:p>
    <w:p>
      <w:pPr>
        <w:pStyle w:val="2"/>
        <w:rPr>
          <w:rFonts w:hint="default"/>
        </w:rPr>
      </w:pPr>
    </w:p>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420" w:leftChars="0"/>
        <w:textAlignment w:val="auto"/>
        <w:rPr>
          <w:rFonts w:hint="eastAsia" w:ascii="方正小标宋简体" w:hAnsi="方正小标宋简体" w:eastAsia="方正小标宋简体" w:cs="方正小标宋简体"/>
          <w:b w:val="0"/>
          <w:bCs w:val="0"/>
          <w:sz w:val="32"/>
          <w:szCs w:val="32"/>
        </w:rPr>
      </w:pPr>
      <w:bookmarkStart w:id="129" w:name="_Toc14011"/>
      <w:bookmarkStart w:id="130" w:name="_Toc55314907"/>
      <w:r>
        <w:rPr>
          <w:rFonts w:hint="eastAsia" w:ascii="方正小标宋简体" w:hAnsi="方正小标宋简体" w:eastAsia="方正小标宋简体" w:cs="方正小标宋简体"/>
          <w:b w:val="0"/>
          <w:bCs w:val="0"/>
          <w:sz w:val="32"/>
          <w:szCs w:val="32"/>
          <w:lang w:eastAsia="zh-CN"/>
        </w:rPr>
        <w:t>第三节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完善绿色能源利用体系</w:t>
      </w:r>
      <w:bookmarkEnd w:id="129"/>
      <w:bookmarkEnd w:id="130"/>
    </w:p>
    <w:p>
      <w:pPr>
        <w:rPr>
          <w:rFonts w:hint="default"/>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充分保障新时期城市建设与经济发展能源需求，持续</w:t>
      </w:r>
      <w:r>
        <w:rPr>
          <w:rFonts w:hint="default" w:ascii="Times New Roman" w:hAnsi="Times New Roman" w:eastAsia="仿宋_GB2312" w:cs="Times New Roman"/>
          <w:sz w:val="32"/>
          <w:szCs w:val="32"/>
          <w:shd w:val="clear" w:color="auto" w:fill="FFFFFF"/>
        </w:rPr>
        <w:t>深化能源供给侧结构性改革，依托良好</w:t>
      </w:r>
      <w:r>
        <w:rPr>
          <w:rFonts w:hint="default" w:ascii="Times New Roman" w:hAnsi="Times New Roman" w:eastAsia="仿宋_GB2312" w:cs="Times New Roman"/>
          <w:sz w:val="32"/>
          <w:szCs w:val="32"/>
          <w:shd w:val="clear" w:color="auto" w:fill="FFFFFF"/>
          <w:lang w:eastAsia="zh-CN"/>
        </w:rPr>
        <w:t>的</w:t>
      </w:r>
      <w:r>
        <w:rPr>
          <w:rFonts w:hint="default" w:ascii="Times New Roman" w:hAnsi="Times New Roman" w:eastAsia="仿宋_GB2312" w:cs="Times New Roman"/>
          <w:sz w:val="32"/>
          <w:szCs w:val="32"/>
          <w:shd w:val="clear" w:color="auto" w:fill="FFFFFF"/>
        </w:rPr>
        <w:t>自然资源，大力发展水利发电、光伏发电和生物质发电，秸秆生物质综合循环利用，进一步完善能源供给结构体系，推动清洁能源产业做大做强。</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lang w:val="zh-CN"/>
        </w:rPr>
        <w:t>优化能源使用结构。</w:t>
      </w:r>
      <w:r>
        <w:rPr>
          <w:rFonts w:hint="default" w:ascii="Times New Roman" w:hAnsi="Times New Roman" w:eastAsia="仿宋_GB2312" w:cs="Times New Roman"/>
          <w:sz w:val="32"/>
          <w:szCs w:val="32"/>
          <w:shd w:val="clear" w:color="auto" w:fill="FFFFFF"/>
        </w:rPr>
        <w:t>抢抓中俄天然气投产通气战略机遇，贯彻落实省委“气化吉林”战略，不断优化能源使用结构，引导退出过剩产能、发展优质产能，实施可再生能源替代煤炭战略，优化煤炭、油气、非化石能源消费比例。大力推进水力、秸秆发电和太阳能等新能源和循环能源生产、供应体系建设。根据城市建设需要，合理布局新的能源基站。积极落实能源改造、再生能源利用，支持推广太阳能设施应用，构建绿色、安全、高效、畅通的能源体系，提高清洁能源利用水平。</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大力发展绿色产业和环保产业。</w:t>
      </w:r>
      <w:r>
        <w:rPr>
          <w:rFonts w:hint="default" w:ascii="Times New Roman" w:hAnsi="Times New Roman" w:eastAsia="仿宋_GB2312" w:cs="Times New Roman"/>
          <w:sz w:val="32"/>
          <w:szCs w:val="32"/>
          <w:shd w:val="clear" w:color="auto" w:fill="FFFFFF"/>
        </w:rPr>
        <w:t>推广应用绿色建筑、绿色建材和高效节能新技术、新产品、新设备。加强电力基础设施建设，以资源综合利用为重点，提升凯迪绿色能源有限公司电力供应与能源储运能力，积极推进秸秆发电工程。</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zh-CN"/>
        </w:rPr>
        <w:t>推进天然气管网建设。</w:t>
      </w:r>
      <w:r>
        <w:rPr>
          <w:rFonts w:hint="default" w:ascii="Times New Roman" w:hAnsi="Times New Roman" w:eastAsia="仿宋_GB2312" w:cs="Times New Roman"/>
          <w:sz w:val="32"/>
          <w:szCs w:val="32"/>
        </w:rPr>
        <w:t>实</w:t>
      </w:r>
      <w:r>
        <w:rPr>
          <w:rFonts w:hint="default" w:ascii="Times New Roman" w:hAnsi="Times New Roman" w:eastAsia="仿宋_GB2312" w:cs="Times New Roman"/>
          <w:sz w:val="32"/>
          <w:szCs w:val="32"/>
          <w:lang w:val="zh-CN"/>
        </w:rPr>
        <w:t>施“气化蛟河”工程，规划建设天然气门站，新增住宅用户端燃气设施4.6万户，城区燃气管网覆盖率、住户气化率达到80%以上。进一步扩大</w:t>
      </w:r>
      <w:r>
        <w:rPr>
          <w:rFonts w:hint="default" w:ascii="Times New Roman" w:hAnsi="Times New Roman" w:eastAsia="仿宋_GB2312" w:cs="Times New Roman"/>
          <w:sz w:val="32"/>
          <w:szCs w:val="32"/>
        </w:rPr>
        <w:t>天然气利用规模</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完善天然气主干管网建设运营机制，统筹协调天然气产储运销，多渠道保障气源供应，加强综合管理系统建设，提升天然气调峰和安全保障能力。推进能源结构优化升级，实现绿色可持续发展。</w:t>
      </w:r>
    </w:p>
    <w:p>
      <w:pPr>
        <w:pStyle w:val="2"/>
        <w:rPr>
          <w:rFonts w:hint="default"/>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400" w:lineRule="exact"/>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专栏1</w:t>
            </w:r>
            <w:r>
              <w:rPr>
                <w:rFonts w:hint="default" w:ascii="Times New Roman" w:hAnsi="Times New Roman" w:eastAsia="仿宋_GB2312" w:cs="Times New Roman"/>
                <w:b/>
                <w:bCs/>
                <w:sz w:val="21"/>
                <w:szCs w:val="21"/>
                <w:lang w:val="en-US" w:eastAsia="zh-CN"/>
              </w:rPr>
              <w:t>7</w:t>
            </w:r>
            <w:r>
              <w:rPr>
                <w:rFonts w:hint="default" w:ascii="Times New Roman" w:hAnsi="Times New Roman" w:eastAsia="仿宋_GB2312" w:cs="Times New Roman"/>
                <w:b/>
                <w:bCs/>
                <w:sz w:val="21"/>
                <w:szCs w:val="21"/>
              </w:rPr>
              <w:t xml:space="preserve"> 能源供给重点项目</w:t>
            </w:r>
          </w:p>
          <w:p>
            <w:pPr>
              <w:pStyle w:val="55"/>
              <w:spacing w:line="400" w:lineRule="exact"/>
              <w:ind w:firstLine="422" w:firstLineChars="200"/>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电网改造。</w:t>
            </w:r>
            <w:r>
              <w:rPr>
                <w:rFonts w:hint="default" w:ascii="Times New Roman" w:hAnsi="Times New Roman" w:eastAsia="仿宋_GB2312" w:cs="Times New Roman"/>
                <w:sz w:val="21"/>
                <w:szCs w:val="21"/>
              </w:rPr>
              <w:t>“十四五”时期10kV、66千伏农网改造项目。</w:t>
            </w:r>
          </w:p>
          <w:p>
            <w:pPr>
              <w:spacing w:line="400" w:lineRule="exact"/>
              <w:ind w:firstLine="422" w:firstLineChars="200"/>
              <w:rPr>
                <w:rFonts w:hint="default" w:ascii="Times New Roman" w:hAnsi="Times New Roman" w:eastAsia="仿宋_GB2312" w:cs="Times New Roman"/>
                <w:sz w:val="24"/>
                <w:szCs w:val="24"/>
                <w:lang w:val="zh-CN"/>
              </w:rPr>
            </w:pPr>
            <w:r>
              <w:rPr>
                <w:rFonts w:hint="default" w:ascii="Times New Roman" w:hAnsi="Times New Roman" w:eastAsia="仿宋_GB2312" w:cs="Times New Roman"/>
                <w:b/>
                <w:bCs/>
                <w:sz w:val="21"/>
                <w:szCs w:val="21"/>
              </w:rPr>
              <w:t>蛟河市天然气利用工程。</w:t>
            </w:r>
            <w:r>
              <w:rPr>
                <w:rFonts w:hint="default" w:ascii="Times New Roman" w:hAnsi="Times New Roman" w:eastAsia="仿宋_GB2312" w:cs="Times New Roman"/>
                <w:b w:val="0"/>
                <w:bCs w:val="0"/>
                <w:sz w:val="21"/>
                <w:szCs w:val="21"/>
                <w:lang w:eastAsia="zh-CN"/>
              </w:rPr>
              <w:t>包括</w:t>
            </w:r>
            <w:r>
              <w:rPr>
                <w:rFonts w:hint="default" w:ascii="Times New Roman" w:hAnsi="Times New Roman" w:eastAsia="仿宋_GB2312" w:cs="Times New Roman"/>
                <w:sz w:val="21"/>
                <w:szCs w:val="21"/>
              </w:rPr>
              <w:t>市政中压管网及其他配套设施，范围为9个乡镇(新站镇、天岗镇、漂河镇、黄松甸镇、天北镇、松江镇、庆岭镇、乌林乡、前进乡)，3个街道（拉法街、新农街、奶子山街）。</w:t>
            </w:r>
          </w:p>
        </w:tc>
      </w:tr>
    </w:tbl>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420" w:leftChars="0"/>
        <w:textAlignment w:val="auto"/>
        <w:rPr>
          <w:rFonts w:hint="eastAsia" w:ascii="Times New Roman" w:hAnsi="Times New Roman" w:eastAsia="仿宋_GB2312" w:cs="Times New Roman"/>
          <w:sz w:val="32"/>
          <w:szCs w:val="32"/>
          <w:lang w:eastAsia="zh-CN"/>
        </w:rPr>
      </w:pPr>
      <w:bookmarkStart w:id="131" w:name="_Toc55314908"/>
      <w:bookmarkStart w:id="132" w:name="_Toc6232"/>
    </w:p>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840" w:leftChars="0"/>
        <w:jc w:val="center"/>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eastAsia="zh-CN"/>
        </w:rPr>
        <w:t>第五节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构筑现代化水利体系</w:t>
      </w:r>
      <w:bookmarkEnd w:id="131"/>
      <w:bookmarkEnd w:id="132"/>
    </w:p>
    <w:p>
      <w:pPr>
        <w:numPr>
          <w:ilvl w:val="0"/>
          <w:numId w:val="0"/>
        </w:num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完善现代水利体系。</w:t>
      </w:r>
      <w:r>
        <w:rPr>
          <w:rFonts w:hint="default" w:ascii="Times New Roman" w:hAnsi="Times New Roman" w:eastAsia="仿宋_GB2312" w:cs="Times New Roman"/>
          <w:sz w:val="32"/>
          <w:szCs w:val="32"/>
        </w:rPr>
        <w:t>统筹规划全市水利发展，构建水资源保障体系，适度超前规划建设水利基础设施，使水资源承载能力与城市建设和经济社会发展相适应。开展农村饮水巩固提升工程，切实保障农村饮水安全，优化城乡供水保障网络，提高农村自来水普及率。加快构建防洪减灾保障体系，不断完善防汛调度指挥系统、暴雨洪水预警预报系统、山洪灾害预警监测系统。积极推广现代化农田水利体系，推进全市高效节水灌溉工程，合理利用地表水、地下水资源，实现农业高效用水。构建水生态保护体系，加强水源地保护，推进水土保持工程，加大水土流失治理力度。</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稳步推进水利管理。</w:t>
      </w:r>
      <w:r>
        <w:rPr>
          <w:rFonts w:hint="default" w:ascii="Times New Roman" w:hAnsi="Times New Roman" w:eastAsia="仿宋_GB2312" w:cs="Times New Roman"/>
          <w:sz w:val="32"/>
          <w:szCs w:val="32"/>
        </w:rPr>
        <w:t>抓住国家新一轮对小型水库运行、管理、安全的支持，统筹推进全市水利工程建设，加快吉林蛟河抽水蓄能电站项目建设。开展江河堤防、水库等工程设施隐患排查和安全鉴定，加快推进主要河流堤防险工险段修复。全面实施防汛水利提升工程，推进蛟河、小蛟河、牤牛河、义气河等中小河流的重点段治理，整体提升洪涝灾害防御能力和超标准洪水应对能力。探索建立管用有效的管护模式，落实最严格水资源管理制度，全面开展水资源管理，加强水保监督管理，建立“清四乱”长效机制，严控水域变化点。</w:t>
      </w:r>
    </w:p>
    <w:p>
      <w:pPr>
        <w:pStyle w:val="2"/>
        <w:rPr>
          <w:rFonts w:hint="default"/>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8385" w:type="dxa"/>
            <w:vAlign w:val="top"/>
          </w:tcPr>
          <w:p>
            <w:pPr>
              <w:spacing w:line="400" w:lineRule="exact"/>
              <w:ind w:firstLine="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专栏1</w:t>
            </w:r>
            <w:r>
              <w:rPr>
                <w:rFonts w:hint="default" w:ascii="Times New Roman" w:hAnsi="Times New Roman" w:eastAsia="仿宋_GB2312" w:cs="Times New Roman"/>
                <w:b/>
                <w:bCs/>
                <w:kern w:val="0"/>
                <w:sz w:val="21"/>
                <w:szCs w:val="21"/>
                <w:lang w:val="en-US" w:eastAsia="zh-CN"/>
              </w:rPr>
              <w:t>8</w:t>
            </w:r>
            <w:r>
              <w:rPr>
                <w:rFonts w:hint="default" w:ascii="Times New Roman" w:hAnsi="Times New Roman" w:eastAsia="仿宋_GB2312" w:cs="Times New Roman"/>
                <w:b/>
                <w:bCs/>
                <w:kern w:val="0"/>
                <w:sz w:val="21"/>
                <w:szCs w:val="21"/>
              </w:rPr>
              <w:t xml:space="preserve">  水利设施重点项目</w:t>
            </w:r>
          </w:p>
          <w:p>
            <w:pPr>
              <w:pStyle w:val="55"/>
              <w:spacing w:line="400" w:lineRule="exact"/>
              <w:ind w:firstLine="422" w:firstLineChars="200"/>
              <w:rPr>
                <w:rFonts w:hint="default" w:ascii="Times New Roman" w:hAnsi="Times New Roman" w:eastAsia="仿宋_GB2312" w:cs="Times New Roman"/>
                <w:bCs/>
                <w:kern w:val="0"/>
                <w:sz w:val="21"/>
                <w:szCs w:val="21"/>
              </w:rPr>
            </w:pPr>
            <w:r>
              <w:rPr>
                <w:rFonts w:hint="default" w:ascii="Times New Roman" w:hAnsi="Times New Roman" w:eastAsia="仿宋_GB2312" w:cs="Times New Roman"/>
                <w:b/>
                <w:bCs/>
                <w:kern w:val="0"/>
                <w:sz w:val="21"/>
                <w:szCs w:val="21"/>
              </w:rPr>
              <w:t>吉林蛟河抽水蓄能电站。</w:t>
            </w:r>
            <w:r>
              <w:rPr>
                <w:rFonts w:hint="default" w:ascii="Times New Roman" w:hAnsi="Times New Roman" w:eastAsia="仿宋_GB2312" w:cs="Times New Roman"/>
                <w:bCs/>
                <w:kern w:val="0"/>
                <w:sz w:val="21"/>
                <w:szCs w:val="21"/>
              </w:rPr>
              <w:t>总装机容量120万千瓦，安装4台单机容量30万千瓦可逆式水泵水轮发电机组。</w:t>
            </w:r>
          </w:p>
          <w:p>
            <w:pPr>
              <w:pStyle w:val="55"/>
              <w:spacing w:line="400" w:lineRule="exact"/>
              <w:ind w:firstLine="422" w:firstLineChars="200"/>
              <w:rPr>
                <w:rFonts w:hint="default" w:ascii="Times New Roman" w:hAnsi="Times New Roman" w:eastAsia="仿宋_GB2312" w:cs="Times New Roman"/>
                <w:kern w:val="0"/>
                <w:sz w:val="21"/>
                <w:szCs w:val="21"/>
              </w:rPr>
            </w:pPr>
            <w:r>
              <w:rPr>
                <w:rFonts w:hint="default" w:ascii="Times New Roman" w:hAnsi="Times New Roman" w:eastAsia="仿宋_GB2312" w:cs="Times New Roman"/>
                <w:b/>
                <w:bCs/>
                <w:kern w:val="0"/>
                <w:sz w:val="21"/>
                <w:szCs w:val="21"/>
              </w:rPr>
              <w:t>蛟河市中小河流治理。</w:t>
            </w:r>
            <w:r>
              <w:rPr>
                <w:rFonts w:hint="default" w:ascii="Times New Roman" w:hAnsi="Times New Roman" w:eastAsia="仿宋_GB2312" w:cs="Times New Roman"/>
                <w:kern w:val="0"/>
                <w:sz w:val="21"/>
                <w:szCs w:val="21"/>
              </w:rPr>
              <w:t>“十四五”时期治理总长度67000米。</w:t>
            </w:r>
          </w:p>
          <w:p>
            <w:pPr>
              <w:widowControl/>
              <w:spacing w:line="240" w:lineRule="auto"/>
              <w:ind w:firstLine="422" w:firstLineChars="200"/>
              <w:jc w:val="left"/>
              <w:rPr>
                <w:rFonts w:hint="default" w:ascii="Times New Roman" w:hAnsi="Times New Roman" w:eastAsia="仿宋_GB2312" w:cs="Times New Roman"/>
                <w:kern w:val="0"/>
                <w:sz w:val="21"/>
                <w:szCs w:val="21"/>
              </w:rPr>
            </w:pPr>
            <w:r>
              <w:rPr>
                <w:rFonts w:hint="default" w:ascii="Times New Roman" w:hAnsi="Times New Roman" w:eastAsia="仿宋_GB2312" w:cs="Times New Roman"/>
                <w:b/>
                <w:bCs/>
                <w:kern w:val="0"/>
                <w:sz w:val="21"/>
                <w:szCs w:val="21"/>
              </w:rPr>
              <w:t>水土保持工程。</w:t>
            </w:r>
            <w:r>
              <w:rPr>
                <w:rFonts w:hint="default" w:ascii="Times New Roman" w:hAnsi="Times New Roman" w:eastAsia="仿宋_GB2312" w:cs="Times New Roman"/>
                <w:kern w:val="0"/>
                <w:sz w:val="21"/>
                <w:szCs w:val="21"/>
              </w:rPr>
              <w:t>完成30条侵蚀沟治理。</w:t>
            </w:r>
          </w:p>
          <w:p>
            <w:pPr>
              <w:widowControl/>
              <w:spacing w:line="240" w:lineRule="auto"/>
              <w:ind w:firstLine="422" w:firstLineChars="200"/>
              <w:jc w:val="left"/>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b/>
                <w:bCs/>
                <w:kern w:val="0"/>
                <w:sz w:val="21"/>
                <w:szCs w:val="21"/>
              </w:rPr>
              <w:t>河床式水电站项目</w:t>
            </w:r>
            <w:r>
              <w:rPr>
                <w:rFonts w:hint="default" w:ascii="Times New Roman" w:hAnsi="Times New Roman" w:eastAsia="仿宋_GB2312" w:cs="Times New Roman"/>
                <w:b/>
                <w:bCs/>
                <w:kern w:val="0"/>
                <w:sz w:val="21"/>
                <w:szCs w:val="21"/>
                <w:lang w:eastAsia="zh-CN"/>
              </w:rPr>
              <w:t>。</w:t>
            </w:r>
            <w:r>
              <w:rPr>
                <w:rFonts w:hint="default" w:ascii="Times New Roman" w:hAnsi="Times New Roman" w:eastAsia="仿宋_GB2312" w:cs="Times New Roman"/>
                <w:kern w:val="0"/>
                <w:sz w:val="21"/>
                <w:szCs w:val="21"/>
                <w:lang w:eastAsia="zh-CN"/>
              </w:rPr>
              <w:t>总装机5000千瓦，占地面积1.4万平方米。分别在乌林橡胶坝、漂河干沟子拦河坝、拉法河黄酒铺拦河坝、西大桥下拦河坝建设河床式水电站。</w:t>
            </w:r>
          </w:p>
        </w:tc>
      </w:tr>
    </w:tbl>
    <w:p>
      <w:pPr>
        <w:pStyle w:val="4"/>
        <w:pageBreakBefore w:val="0"/>
        <w:numPr>
          <w:ilvl w:val="0"/>
          <w:numId w:val="0"/>
        </w:numPr>
        <w:kinsoku/>
        <w:wordWrap/>
        <w:overflowPunct/>
        <w:topLinePunct w:val="0"/>
        <w:autoSpaceDE/>
        <w:autoSpaceDN/>
        <w:bidi w:val="0"/>
        <w:adjustRightInd/>
        <w:snapToGrid/>
        <w:spacing w:beforeLines="0" w:afterLines="0" w:line="560" w:lineRule="exact"/>
        <w:ind w:left="-420" w:leftChars="0"/>
        <w:textAlignment w:val="auto"/>
        <w:rPr>
          <w:rFonts w:hint="eastAsia" w:eastAsia="仿宋_GB2312" w:cs="Times New Roman"/>
          <w:sz w:val="32"/>
          <w:szCs w:val="32"/>
          <w:lang w:eastAsia="zh-CN"/>
        </w:rPr>
      </w:pPr>
      <w:bookmarkStart w:id="133" w:name="_Toc54275592"/>
      <w:bookmarkStart w:id="134" w:name="_Toc2371"/>
      <w:bookmarkStart w:id="135" w:name="_Toc60232826"/>
      <w:bookmarkStart w:id="136" w:name="_Toc55314909"/>
    </w:p>
    <w:p>
      <w:pPr>
        <w:pStyle w:val="4"/>
        <w:pageBreakBefore w:val="0"/>
        <w:numPr>
          <w:ilvl w:val="0"/>
          <w:numId w:val="18"/>
        </w:numPr>
        <w:kinsoku/>
        <w:wordWrap/>
        <w:overflowPunct/>
        <w:topLinePunct w:val="0"/>
        <w:autoSpaceDE/>
        <w:autoSpaceDN/>
        <w:bidi w:val="0"/>
        <w:adjustRightInd/>
        <w:snapToGrid/>
        <w:spacing w:beforeLines="0" w:afterLines="0" w:line="560" w:lineRule="exact"/>
        <w:ind w:left="-420" w:leftChars="0"/>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rPr>
        <w:t>奋力推进更高水平改革开放</w:t>
      </w:r>
      <w:bookmarkEnd w:id="133"/>
      <w:bookmarkEnd w:id="134"/>
      <w:bookmarkEnd w:id="135"/>
      <w:bookmarkEnd w:id="136"/>
    </w:p>
    <w:p>
      <w:pPr>
        <w:numPr>
          <w:ilvl w:val="0"/>
          <w:numId w:val="0"/>
        </w:numPr>
        <w:rPr>
          <w:rFonts w:hint="default"/>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rPr>
        <w:t>以新经济发展突破为引领，</w:t>
      </w:r>
      <w:r>
        <w:rPr>
          <w:rFonts w:hint="default" w:ascii="Times New Roman" w:hAnsi="Times New Roman" w:eastAsia="仿宋_GB2312" w:cs="Times New Roman"/>
          <w:sz w:val="32"/>
          <w:szCs w:val="32"/>
          <w:shd w:val="clear" w:color="auto" w:fill="FFFFFF"/>
        </w:rPr>
        <w:t>探索新技术、新模式、新业态等创新发展，助推蛟河实现高质量发展，努力打造新的增长极。在强化区域合作中持续释放经济发展新动能，努力形成全方位、多层次、高质量全面开放新格局。</w:t>
      </w:r>
    </w:p>
    <w:p>
      <w:pPr>
        <w:pStyle w:val="2"/>
        <w:rPr>
          <w:rFonts w:hint="default"/>
        </w:rPr>
      </w:pPr>
    </w:p>
    <w:p>
      <w:pPr>
        <w:pStyle w:val="5"/>
        <w:pageBreakBefore w:val="0"/>
        <w:numPr>
          <w:ilvl w:val="0"/>
          <w:numId w:val="19"/>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lang w:val="en-GB"/>
        </w:rPr>
      </w:pPr>
      <w:bookmarkStart w:id="137" w:name="_Toc15339"/>
      <w:r>
        <w:rPr>
          <w:rFonts w:hint="eastAsia" w:ascii="方正小标宋简体" w:hAnsi="方正小标宋简体" w:eastAsia="方正小标宋简体" w:cs="方正小标宋简体"/>
          <w:b w:val="0"/>
          <w:bCs w:val="0"/>
          <w:sz w:val="32"/>
          <w:szCs w:val="32"/>
          <w:lang w:val="en-GB"/>
        </w:rPr>
        <w:t>依托园区实现产业聚集</w:t>
      </w:r>
      <w:bookmarkEnd w:id="137"/>
    </w:p>
    <w:p>
      <w:pPr>
        <w:rPr>
          <w:rFonts w:hint="default"/>
          <w:lang w:val="en-GB"/>
        </w:rPr>
      </w:pP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en-GB"/>
        </w:rPr>
      </w:pPr>
      <w:r>
        <w:rPr>
          <w:rFonts w:hint="default" w:ascii="Times New Roman" w:hAnsi="Times New Roman" w:eastAsia="仿宋_GB2312" w:cs="Times New Roman"/>
          <w:sz w:val="32"/>
          <w:szCs w:val="32"/>
          <w:lang w:val="en-GB"/>
        </w:rPr>
        <w:t>全面贯彻工业强市战略，推进实施“五大工程”、落实“五项举措”，细化“五个清单”，持续优化产业结构，大力培育发展新动能，加快推动新旧动能转换和顺畅接续，加快推动工业经济高质量发展。创新和完善两个省级开发区招商引资、引智、引技机制，按照“储备一批、推介一批、签约一批、开工一批、在建一批、投产一批”的项目滚动开发要求，实现入区项目储备、招商和落地有序开展；完善开发区招商引资项目退出和清理机制，有效管理引进项目的资源利用率，最大限度降低招商引资风险。天岗园区以中国北部（蛟河）石材循环经济产业园为统领，建成中国北部规模最大、功能最全、配套最完善的石材产业园，力争实现“四个100”发展目标。蛟河</w:t>
      </w:r>
      <w:r>
        <w:rPr>
          <w:rFonts w:hint="default" w:ascii="Times New Roman" w:hAnsi="Times New Roman" w:eastAsia="仿宋_GB2312" w:cs="Times New Roman"/>
          <w:sz w:val="32"/>
          <w:szCs w:val="32"/>
          <w:lang w:val="en-GB" w:eastAsia="zh-CN"/>
        </w:rPr>
        <w:t>经济开发区</w:t>
      </w:r>
      <w:r>
        <w:rPr>
          <w:rFonts w:hint="default" w:ascii="Times New Roman" w:hAnsi="Times New Roman" w:eastAsia="仿宋_GB2312" w:cs="Times New Roman"/>
          <w:sz w:val="32"/>
          <w:szCs w:val="32"/>
          <w:lang w:val="en-GB"/>
        </w:rPr>
        <w:t>以中科院苏州医工所蛟河创新产业园为重点，争创省内乃至全国独具特色的全产业链生物医学高科技产业园区。同时，加大土地整合、资金争取力度，增设蛟河经济开发区奶子山产业园区，培育畜禽规模化养殖、工业加工两大功能区。</w:t>
      </w:r>
    </w:p>
    <w:p>
      <w:pPr>
        <w:pStyle w:val="55"/>
        <w:pageBreakBefore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lang w:val="en-GB"/>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38" w:name="_Toc55314913"/>
      <w:bookmarkStart w:id="139" w:name="_Toc32677"/>
      <w:r>
        <w:rPr>
          <w:rFonts w:hint="eastAsia" w:ascii="方正小标宋简体" w:hAnsi="方正小标宋简体" w:eastAsia="方正小标宋简体" w:cs="方正小标宋简体"/>
          <w:b w:val="0"/>
          <w:bCs w:val="0"/>
          <w:sz w:val="32"/>
          <w:szCs w:val="32"/>
        </w:rPr>
        <w:t>提高招商引资质量和水平</w:t>
      </w:r>
      <w:bookmarkEnd w:id="138"/>
      <w:bookmarkEnd w:id="139"/>
    </w:p>
    <w:p>
      <w:pPr>
        <w:rPr>
          <w:rFonts w:hint="default"/>
        </w:rPr>
      </w:pPr>
    </w:p>
    <w:p>
      <w:pPr>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重招商引资实效，不断创新招商引资方式方法，加大实施产业链招商力度，坚持引资、引智、引技并重，重点围绕医药健康、新能源新材料、旅游商贸和长白山特产品加工“四大经济发展动力源”开展招商引资工作；着力提高园区与高等院校、科研院所之间的产学研合作，切实做好信息交流、人才互通、技术对接、成果共享等工作；充分发挥市级领导“头雁”引领作用，紧盯“京津冀”“上广深”“江浙沪”等重点地区，积极参加“东博会”“吉商大会”等省、市大型经贸交流活动，组织开展“石材高峰论坛”“红叶旅游节”等重大节庆活动，全力推介蛟河区位、特产、交通等优势，力争更多高质量项目落户蛟河。着眼于优势产业和新兴产业，最大限度放宽投资准入机制，最大限度缩小投资项目审批、核准的范围；对引进项目坚持综合评价制度，对项目进行充分论证，确保落地项目科学合理、可持续发展；持续完善招商引资优惠政策体系，制定出台“招商引资奖励办法”等一系列政策激励和奖励办法，坚持履诺践诺，营造“亲商、富商、安商”的优质营商环境。</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40" w:name="_Toc7571"/>
      <w:r>
        <w:rPr>
          <w:rFonts w:hint="eastAsia" w:ascii="方正小标宋简体" w:hAnsi="方正小标宋简体" w:eastAsia="方正小标宋简体" w:cs="方正小标宋简体"/>
          <w:b w:val="0"/>
          <w:bCs w:val="0"/>
          <w:sz w:val="32"/>
          <w:szCs w:val="32"/>
        </w:rPr>
        <w:t>着力扩大有效投资</w:t>
      </w:r>
      <w:bookmarkEnd w:id="140"/>
    </w:p>
    <w:p>
      <w:pPr>
        <w:rPr>
          <w:rFonts w:hint="default"/>
        </w:rPr>
      </w:pP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大力推进以商招商、产业链招商、委托招商、云招商，充分利用好“东博会”“进博会”等国内外大型展会平台，持续开展好“石材高峰论坛”“蛟商大会”等重点活动，不断吸引知名企业来蛟投资，</w:t>
      </w:r>
      <w:r>
        <w:rPr>
          <w:rFonts w:hint="default" w:ascii="Times New Roman" w:hAnsi="Times New Roman" w:eastAsia="仿宋_GB2312" w:cs="Times New Roman"/>
          <w:sz w:val="32"/>
          <w:szCs w:val="32"/>
          <w:lang w:eastAsia="zh-CN"/>
        </w:rPr>
        <w:t>鼓励</w:t>
      </w:r>
      <w:r>
        <w:rPr>
          <w:rFonts w:hint="default" w:ascii="Times New Roman" w:hAnsi="Times New Roman" w:eastAsia="仿宋_GB2312" w:cs="Times New Roman"/>
          <w:sz w:val="32"/>
          <w:szCs w:val="32"/>
        </w:rPr>
        <w:t>蛟河籍成功人士回乡创业。充分发挥投资的关键作用，统筹谋划、全面实施新基建“761”工程。实行领导挂帅，高位推进蛟河抽水蓄能电站、航空产业园等重大项目，</w:t>
      </w:r>
      <w:r>
        <w:rPr>
          <w:rFonts w:hint="default" w:ascii="Times New Roman" w:hAnsi="Times New Roman" w:eastAsia="仿宋_GB2312" w:cs="Times New Roman"/>
          <w:bCs/>
          <w:kern w:val="0"/>
          <w:sz w:val="32"/>
          <w:szCs w:val="32"/>
        </w:rPr>
        <w:t>五年开工超</w:t>
      </w:r>
      <w:r>
        <w:rPr>
          <w:rFonts w:hint="default" w:ascii="Times New Roman" w:hAnsi="Times New Roman" w:eastAsia="仿宋_GB2312" w:cs="Times New Roman"/>
          <w:sz w:val="32"/>
          <w:szCs w:val="32"/>
        </w:rPr>
        <w:t>5000万元项目55个，其中超亿元项目32个、超10亿元项目3个、超50亿元项目2个。</w:t>
      </w: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41" w:name="_Toc21477"/>
      <w:r>
        <w:rPr>
          <w:rFonts w:hint="eastAsia" w:ascii="方正小标宋简体" w:hAnsi="方正小标宋简体" w:eastAsia="方正小标宋简体" w:cs="方正小标宋简体"/>
          <w:b w:val="0"/>
          <w:bCs w:val="0"/>
          <w:sz w:val="32"/>
          <w:szCs w:val="32"/>
        </w:rPr>
        <w:t>全力壮大民营经济</w:t>
      </w:r>
      <w:bookmarkEnd w:id="141"/>
    </w:p>
    <w:p>
      <w:pPr>
        <w:rPr>
          <w:rFonts w:hint="eastAsia"/>
        </w:rPr>
      </w:pPr>
    </w:p>
    <w:p>
      <w:pPr>
        <w:pStyle w:val="55"/>
        <w:pageBreakBefore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面贯彻中共中央、国务院《关于营造更好发展环境支持民营企业改革发展的意见》。建立制度化常态化的政企沟通机制，健全企业诉求、处理、反馈制度，畅通民企参政议政渠道，积极培育和发展特色商会组织，进一步提高行政效能。鼓励、支持、推动民营经济发展政策措施落地落实落细，通过全面深化改革，不断提高政策获得感、投资安全感和办事便捷感。弘扬优秀企业家精神，大力宣传优秀民营企业创业创新典型，开展十佳优秀民营企业和十佳优秀民营企业家评选表彰，打造优良民营企业创业创新发展氛围。营造促进企业家公平竞争诚信经营的市场环境，强化企业家公平竞争权益保障，健全企业家诚信经营激励约束机制，提高监管公平性规范性简约性。加强对企业家优质高效务实服务，建立健全帮扶企业家的工作联动机制。</w:t>
      </w: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42" w:name="_Toc24142"/>
      <w:r>
        <w:rPr>
          <w:rFonts w:hint="eastAsia" w:ascii="方正小标宋简体" w:hAnsi="方正小标宋简体" w:eastAsia="方正小标宋简体" w:cs="方正小标宋简体"/>
          <w:b w:val="0"/>
          <w:bCs w:val="0"/>
          <w:sz w:val="32"/>
          <w:szCs w:val="32"/>
        </w:rPr>
        <w:t>深化拓展吉浙合作</w:t>
      </w:r>
      <w:bookmarkEnd w:id="142"/>
    </w:p>
    <w:p>
      <w:pPr>
        <w:rPr>
          <w:rFonts w:hint="eastAsia"/>
        </w:rPr>
      </w:pP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以更加开放的态度和格局发展当地经济，充分利用吉浙对口合作的战略机遇，重视与温州苍南县的交流合作，发挥双方比较优势，在旅游</w:t>
      </w:r>
      <w:r>
        <w:rPr>
          <w:rFonts w:hint="default" w:ascii="Times New Roman" w:hAnsi="Times New Roman" w:eastAsia="仿宋_GB2312" w:cs="Times New Roman"/>
          <w:sz w:val="32"/>
          <w:szCs w:val="32"/>
          <w:lang w:eastAsia="zh-CN"/>
        </w:rPr>
        <w:t>开发、</w:t>
      </w:r>
      <w:r>
        <w:rPr>
          <w:rFonts w:hint="default" w:ascii="Times New Roman" w:hAnsi="Times New Roman" w:eastAsia="仿宋_GB2312" w:cs="Times New Roman"/>
          <w:sz w:val="32"/>
          <w:szCs w:val="32"/>
        </w:rPr>
        <w:t>农产品加工</w:t>
      </w:r>
      <w:r>
        <w:rPr>
          <w:rFonts w:hint="default" w:ascii="Times New Roman" w:hAnsi="Times New Roman" w:eastAsia="仿宋_GB2312" w:cs="Times New Roman"/>
          <w:sz w:val="32"/>
          <w:szCs w:val="32"/>
          <w:lang w:eastAsia="zh-CN"/>
        </w:rPr>
        <w:t>、特色小镇建设</w:t>
      </w:r>
      <w:r>
        <w:rPr>
          <w:rFonts w:hint="default" w:ascii="Times New Roman" w:hAnsi="Times New Roman" w:eastAsia="仿宋_GB2312" w:cs="Times New Roman"/>
          <w:sz w:val="32"/>
          <w:szCs w:val="32"/>
        </w:rPr>
        <w:t>等方面多领域、多维度、多渠道积极开展对接合作，实现共赢。</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加强政策扶持。</w:t>
      </w:r>
      <w:r>
        <w:rPr>
          <w:rFonts w:hint="default" w:ascii="Times New Roman" w:hAnsi="Times New Roman" w:eastAsia="仿宋_GB2312" w:cs="Times New Roman"/>
          <w:sz w:val="32"/>
          <w:szCs w:val="32"/>
        </w:rPr>
        <w:t>密切跟踪国家和两省合作政策动态，研究承接路径，出台相应扶持政策。探索设立对口合作专项资金，为重点工作、重大项目、重大活动提供资金支持。鼓励采用政府购买服务的方式，引导企业和社会机构参与对口合作。</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加强紧密合作。</w:t>
      </w:r>
      <w:r>
        <w:rPr>
          <w:rFonts w:hint="default" w:ascii="Times New Roman" w:hAnsi="Times New Roman" w:eastAsia="仿宋_GB2312" w:cs="Times New Roman"/>
          <w:sz w:val="32"/>
          <w:szCs w:val="32"/>
        </w:rPr>
        <w:t>继续开展</w:t>
      </w:r>
      <w:r>
        <w:rPr>
          <w:rFonts w:hint="default" w:ascii="Times New Roman" w:hAnsi="Times New Roman" w:eastAsia="仿宋_GB2312" w:cs="Times New Roman"/>
          <w:sz w:val="32"/>
          <w:szCs w:val="32"/>
          <w:lang w:eastAsia="zh-CN"/>
        </w:rPr>
        <w:t>苍南</w:t>
      </w:r>
      <w:r>
        <w:rPr>
          <w:rFonts w:hint="default" w:ascii="Times New Roman" w:hAnsi="Times New Roman" w:eastAsia="仿宋_GB2312" w:cs="Times New Roman"/>
          <w:sz w:val="32"/>
          <w:szCs w:val="32"/>
          <w:lang w:val="en-US" w:eastAsia="zh-CN"/>
        </w:rPr>
        <w:t>-蛟河</w:t>
      </w:r>
      <w:r>
        <w:rPr>
          <w:rFonts w:hint="default" w:ascii="Times New Roman" w:hAnsi="Times New Roman" w:eastAsia="仿宋_GB2312" w:cs="Times New Roman"/>
          <w:sz w:val="32"/>
          <w:szCs w:val="32"/>
        </w:rPr>
        <w:t>双方主要领导互访，提前谋划互访内容，提高互访质量。定期组织两地干部交流挂职，选派优秀中青年干部到苍南县培训，组织各乡镇、产业部门、企业单位赴苍南县学习考察。发挥友好县市、园区合作、商协会交流等平台优势，加强两地人才、经贸、文化等多方面交流与互动，聚力扩大合作范围，深化对口合作关系，促进两地在各方面实现优势互补、互利共赢、协同发展。</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加强推进落实。</w:t>
      </w:r>
      <w:r>
        <w:rPr>
          <w:rFonts w:hint="default" w:ascii="Times New Roman" w:hAnsi="Times New Roman" w:eastAsia="仿宋_GB2312" w:cs="Times New Roman"/>
          <w:sz w:val="32"/>
          <w:szCs w:val="32"/>
        </w:rPr>
        <w:t>重点围绕医药健康、商贸旅游、新能源新材料、长白山特产品加工四大立市产业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黑木耳等农特产品资源、石材等矿产品资源、冰雪等旅游资源谋划对口合作项目</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对已签约的项目要加快协助企业推进前期手续办理，力争项目早日开工建设。</w:t>
      </w: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43" w:name="_Toc24044"/>
      <w:r>
        <w:rPr>
          <w:rFonts w:hint="eastAsia" w:ascii="方正小标宋简体" w:hAnsi="方正小标宋简体" w:eastAsia="方正小标宋简体" w:cs="方正小标宋简体"/>
          <w:b w:val="0"/>
          <w:bCs w:val="0"/>
          <w:sz w:val="32"/>
          <w:szCs w:val="32"/>
        </w:rPr>
        <w:t>深入推进“放管服”改革</w:t>
      </w:r>
      <w:bookmarkEnd w:id="143"/>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进一步深化政府职能</w:t>
      </w:r>
      <w:r>
        <w:rPr>
          <w:rFonts w:hint="default" w:ascii="Times New Roman" w:hAnsi="Times New Roman" w:eastAsia="仿宋_GB2312" w:cs="Times New Roman"/>
          <w:b/>
          <w:bCs/>
          <w:sz w:val="32"/>
          <w:szCs w:val="32"/>
          <w:lang w:eastAsia="zh-CN"/>
        </w:rPr>
        <w:t>转变</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rPr>
        <w:t>深化简政放权，坚持放管结合，优化政府机构设置和职能配置，健全综合监管和行业监管机制，按上级规定的标准，加强基层市场监管标准化建设。强化监管手段，积极探索新型监管模式，着力提高事中事后监管有效性，深入贯彻落实“双随机、一公开”监管，推进监管系统信息共享。规范行政行为、简化优化办事流程，增强政府公信力和执行力，建设人民满意的服务型政府。</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实施营商环境优化行动。</w:t>
      </w:r>
      <w:r>
        <w:rPr>
          <w:rFonts w:hint="default" w:ascii="Times New Roman" w:hAnsi="Times New Roman" w:eastAsia="仿宋_GB2312" w:cs="Times New Roman"/>
          <w:sz w:val="32"/>
          <w:szCs w:val="32"/>
        </w:rPr>
        <w:t>聚焦打造高效便捷的政务环境、公平竞争的市场环境、平等保护的法治环境，持续推进“放管服”和“最多跑一次”改革，缩短办事时限。全面加强蛟河市政务网建设，市本级政务服务事项“一网通办”率达到100%，市本级政务服务事项进驻市政务服</w:t>
      </w:r>
      <w:r>
        <w:rPr>
          <w:rFonts w:hint="default" w:ascii="Times New Roman" w:hAnsi="Times New Roman" w:eastAsia="仿宋_GB2312" w:cs="Times New Roman"/>
          <w:sz w:val="32"/>
          <w:szCs w:val="32"/>
          <w:lang w:eastAsia="zh-CN"/>
        </w:rPr>
        <w:t>务</w:t>
      </w:r>
      <w:r>
        <w:rPr>
          <w:rFonts w:hint="default" w:ascii="Times New Roman" w:hAnsi="Times New Roman" w:eastAsia="仿宋_GB2312" w:cs="Times New Roman"/>
          <w:sz w:val="32"/>
          <w:szCs w:val="32"/>
        </w:rPr>
        <w:t>中心率达到100%，“综窗”分类受理和“一站式”服务达到100%，市乡两级高频政务服务事项“就近可办”率达到100%。制定《蛟河市优化营商环境条例实施方案》，开展工商注册、公章刻制、项目备案、规划初审等全流程跟踪服务，制定完善帮办制度，增加帮办力量，明确职责任务。全力打造效率高、服务好、成本低、办事不求人、规则无偏见、投资有商机，留得住人、留得住心，稳定公平透明、可预期的营商环境。</w:t>
      </w:r>
    </w:p>
    <w:p>
      <w:pPr>
        <w:pageBreakBefore w:val="0"/>
        <w:widowControl/>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br w:type="page"/>
      </w:r>
    </w:p>
    <w:p>
      <w:pPr>
        <w:pStyle w:val="3"/>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44" w:name="_Toc55314914"/>
      <w:bookmarkStart w:id="145" w:name="_Toc54275593"/>
      <w:bookmarkStart w:id="146" w:name="_Toc19894"/>
      <w:bookmarkStart w:id="147" w:name="_Toc60232827"/>
      <w:r>
        <w:rPr>
          <w:rFonts w:hint="eastAsia" w:ascii="方正小标宋简体" w:hAnsi="方正小标宋简体" w:eastAsia="方正小标宋简体" w:cs="方正小标宋简体"/>
          <w:b w:val="0"/>
          <w:bCs w:val="0"/>
          <w:sz w:val="32"/>
          <w:szCs w:val="32"/>
        </w:rPr>
        <w:t>人民高品质</w:t>
      </w:r>
      <w:bookmarkEnd w:id="144"/>
      <w:bookmarkEnd w:id="145"/>
      <w:r>
        <w:rPr>
          <w:rFonts w:hint="eastAsia" w:ascii="方正小标宋简体" w:hAnsi="方正小标宋简体" w:eastAsia="方正小标宋简体" w:cs="方正小标宋简体"/>
          <w:b w:val="0"/>
          <w:bCs w:val="0"/>
          <w:sz w:val="32"/>
          <w:szCs w:val="32"/>
        </w:rPr>
        <w:t>生活篇</w:t>
      </w:r>
      <w:bookmarkEnd w:id="146"/>
      <w:bookmarkEnd w:id="147"/>
    </w:p>
    <w:p>
      <w:pPr>
        <w:pStyle w:val="4"/>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48" w:name="_Toc54275594"/>
      <w:bookmarkStart w:id="149" w:name="_Toc60232828"/>
      <w:bookmarkStart w:id="150" w:name="_Toc55314915"/>
      <w:bookmarkStart w:id="151" w:name="_Toc4313"/>
      <w:r>
        <w:rPr>
          <w:rFonts w:hint="eastAsia" w:ascii="方正小标宋简体" w:hAnsi="方正小标宋简体" w:eastAsia="方正小标宋简体" w:cs="方正小标宋简体"/>
          <w:b w:val="0"/>
          <w:bCs w:val="0"/>
          <w:sz w:val="32"/>
          <w:szCs w:val="32"/>
        </w:rPr>
        <w:t>提升教育发展水平</w:t>
      </w:r>
      <w:bookmarkEnd w:id="148"/>
      <w:bookmarkEnd w:id="149"/>
      <w:bookmarkEnd w:id="150"/>
      <w:bookmarkEnd w:id="151"/>
    </w:p>
    <w:p>
      <w:pPr>
        <w:pStyle w:val="55"/>
        <w:pageBreakBefore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一步优化完善教育资源配置，突出教育发展更加有质量的公平，教师核心素养得到全面提高，立德树人落实机制更加完善，引导教师潜心育人的评价制度更加健全，促进学生全面发展的评价办法更加多元。加快推进学前教育普及普惠发展、义务教育优质均衡发展、普通高中多元特色发展、职业教育现代化，全面提升育人水平。</w:t>
      </w: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p>
      <w:pPr>
        <w:pStyle w:val="5"/>
        <w:pageBreakBefore w:val="0"/>
        <w:numPr>
          <w:ilvl w:val="0"/>
          <w:numId w:val="20"/>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52" w:name="_Toc13467"/>
      <w:r>
        <w:rPr>
          <w:rFonts w:hint="eastAsia" w:ascii="方正小标宋简体" w:hAnsi="方正小标宋简体" w:eastAsia="方正小标宋简体" w:cs="方正小标宋简体"/>
          <w:b w:val="0"/>
          <w:bCs w:val="0"/>
          <w:sz w:val="32"/>
          <w:szCs w:val="32"/>
        </w:rPr>
        <w:t>坚持“五育”并举，全面发展素质教育</w:t>
      </w:r>
      <w:bookmarkEnd w:id="152"/>
    </w:p>
    <w:p>
      <w:pPr>
        <w:rPr>
          <w:rFonts w:hint="default"/>
        </w:rPr>
      </w:pP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大力推进新时代德育工作。</w:t>
      </w:r>
      <w:r>
        <w:rPr>
          <w:rFonts w:hint="default" w:ascii="Times New Roman" w:hAnsi="Times New Roman" w:eastAsia="仿宋_GB2312" w:cs="Times New Roman"/>
          <w:sz w:val="32"/>
          <w:szCs w:val="32"/>
        </w:rPr>
        <w:t xml:space="preserve">聚焦“培养担当民族复兴大任的时代新人”要求，深入实施《中小学德育工作指南》，健全立德树人落实机制，加强学校德育评价，完善《蛟河市中小学德育及校外教育工作考评细则》，持续推进中小学德育工作体系建设。聚焦综合素质提升，改进学生评价。科学设计学校德育目标要求，不断拓展德育实施途径。持续深化学生榜样引领工程品牌建设，组织开展“新时代好少年”评选、学习宣传等活动，未来五年计划培养1500名“新时代好少年”、200名“新时代好少年标兵”先进典型。 </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全面提升学生智育水平。</w:t>
      </w:r>
      <w:r>
        <w:rPr>
          <w:rFonts w:hint="default" w:ascii="Times New Roman" w:hAnsi="Times New Roman" w:eastAsia="仿宋_GB2312" w:cs="Times New Roman"/>
          <w:sz w:val="32"/>
          <w:szCs w:val="32"/>
        </w:rPr>
        <w:t>全面加强教学常规管理，研究制定《蛟河市中小学（幼儿园）教学管理规范》。开展教学管理示范校评选活动。优化教学方式，深入探索课堂教学方式改革。定期开展聚焦课堂教学质量的主题活动，培育、遴选和推广优秀教学模式。抓好质量监测和分析，不断提高学生学业水平。加强科学教育和实验教学，广泛开展多种形式的读书活动。建立和完善教师教育教学评价机制，引导教师更好履行教书育人职责。探索建立中小学教师教学述评制度，完善中小学教师绩效考核办法。加强监测和督导，坚决防止学生学业负担过重。</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持续强化新时代体育工作。</w:t>
      </w:r>
      <w:r>
        <w:rPr>
          <w:rFonts w:hint="default" w:ascii="Times New Roman" w:hAnsi="Times New Roman" w:eastAsia="仿宋_GB2312" w:cs="Times New Roman"/>
          <w:sz w:val="32"/>
          <w:szCs w:val="32"/>
        </w:rPr>
        <w:t>全面加强学校体育工作，推动学生文化学习和体育锻炼协调发展。开齐开足上好体育课，高中阶段进一步发展学生运动专长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加快发展青少年校园体育活动，开展阳光系列体育运动，完善校内竞赛、校际联赛等竞赛体系，定期举办学生运动会。深入开展中小学冰上运动，全面落实吉林市中小学生“筑梦冰雪、相约冬奥”冰雪运动普及工程，免费为全市中小学生开放，实现“万名学生上冰雪”的活动目标，五年内力争创建8所冰雪特色</w:t>
      </w:r>
      <w:r>
        <w:rPr>
          <w:rFonts w:hint="default" w:ascii="Times New Roman" w:hAnsi="Times New Roman" w:eastAsia="仿宋_GB2312" w:cs="Times New Roman"/>
          <w:sz w:val="32"/>
          <w:szCs w:val="32"/>
          <w:lang w:eastAsia="zh-CN"/>
        </w:rPr>
        <w:t>学</w:t>
      </w:r>
      <w:r>
        <w:rPr>
          <w:rFonts w:hint="default" w:ascii="Times New Roman" w:hAnsi="Times New Roman" w:eastAsia="仿宋_GB2312" w:cs="Times New Roman"/>
          <w:sz w:val="32"/>
          <w:szCs w:val="32"/>
        </w:rPr>
        <w:t>校。加强各类体育特色学校建设，发挥特色学校示范引领辐射作用。强化体育评价。到2025年，中小学生体质健康优秀率达到20%以上。</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全面深化新时代美育工作。</w:t>
      </w:r>
      <w:r>
        <w:rPr>
          <w:rFonts w:hint="default" w:ascii="Times New Roman" w:hAnsi="Times New Roman" w:eastAsia="仿宋_GB2312" w:cs="Times New Roman"/>
          <w:sz w:val="32"/>
          <w:szCs w:val="32"/>
        </w:rPr>
        <w:t>全面加强和改进学校美育</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，科学定位美育课程目标，开设丰富优质的美育课程，推动课程教学与社会实践、校园文化建设深度融合，逐步完善“艺术基础知识基本技能+艺术审美体验+艺术专项特长”的教学模式。建设5所以上美育实践基地</w:t>
      </w:r>
      <w:r>
        <w:rPr>
          <w:rFonts w:hint="default" w:ascii="Times New Roman" w:hAnsi="Times New Roman" w:eastAsia="仿宋_GB2312" w:cs="Times New Roman"/>
          <w:sz w:val="32"/>
          <w:szCs w:val="32"/>
          <w:lang w:eastAsia="zh-CN"/>
        </w:rPr>
        <w:t>学</w:t>
      </w:r>
      <w:r>
        <w:rPr>
          <w:rFonts w:hint="default" w:ascii="Times New Roman" w:hAnsi="Times New Roman" w:eastAsia="仿宋_GB2312" w:cs="Times New Roman"/>
          <w:sz w:val="32"/>
          <w:szCs w:val="32"/>
        </w:rPr>
        <w:t>校，培育一批美育优秀教师。坚持以美育人、以美化人、以美培元，把美育纳入学校育人全过程。推进美育评价改革</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继续实施中小学生艺术素质测评，将测评结果纳入初、高中学生综合素质评价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探索将艺术类科目纳入初、高中学业水平考试范围。</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全面开展新时代劳动教育工作。</w:t>
      </w:r>
      <w:r>
        <w:rPr>
          <w:rFonts w:hint="default" w:ascii="Times New Roman" w:hAnsi="Times New Roman" w:eastAsia="仿宋_GB2312" w:cs="Times New Roman"/>
          <w:sz w:val="32"/>
          <w:szCs w:val="32"/>
        </w:rPr>
        <w:t>深入挖掘校内外劳动教育资源，持续推进中小学劳动教育基地建设，力争60%以上学校打造具有地域及学校特色的劳动项目。完善学生参加劳动的具体内容和要求，建立劳动清单制度，加强劳动过程性评价，因地制宜组织开展家务劳动、校园劳动与社会劳动。深化学工学农实践教育，推进开展校际间、行业间等各领域劳动和职业启蒙体验活动，推动树立“四个最”的劳动价值观，构建课程完善、资源丰富、形式多样、机制健全的劳动教育体系。</w:t>
      </w: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53" w:name="_Toc21444"/>
      <w:r>
        <w:rPr>
          <w:rFonts w:hint="eastAsia" w:ascii="方正小标宋简体" w:hAnsi="方正小标宋简体" w:eastAsia="方正小标宋简体" w:cs="方正小标宋简体"/>
          <w:b w:val="0"/>
          <w:bCs w:val="0"/>
          <w:sz w:val="32"/>
          <w:szCs w:val="32"/>
        </w:rPr>
        <w:t>统筹各类教育协调发展</w:t>
      </w:r>
      <w:bookmarkEnd w:id="153"/>
    </w:p>
    <w:p>
      <w:pPr>
        <w:rPr>
          <w:rFonts w:hint="default"/>
        </w:rPr>
      </w:pP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大力促进学前教育普惠优质发展。</w:t>
      </w:r>
      <w:r>
        <w:rPr>
          <w:rFonts w:hint="default" w:ascii="Times New Roman" w:hAnsi="Times New Roman" w:eastAsia="仿宋_GB2312" w:cs="Times New Roman"/>
          <w:sz w:val="32"/>
          <w:szCs w:val="32"/>
        </w:rPr>
        <w:t>着力构建以普惠性资源为主体的办园体系。推进落实学前教育行动计划，大力发展公办幼儿园，加大投入，新建、改扩建一批幼儿园，积极改善办园条件，</w:t>
      </w:r>
      <w:r>
        <w:rPr>
          <w:rFonts w:hint="default" w:ascii="Times New Roman" w:hAnsi="Times New Roman" w:eastAsia="仿宋_GB2312" w:cs="Times New Roman"/>
          <w:bCs/>
          <w:sz w:val="32"/>
          <w:szCs w:val="32"/>
        </w:rPr>
        <w:t>学前三年毛入园率稳步提升，力争达到95%以上，普惠性幼儿园覆盖率力争达到85%</w:t>
      </w:r>
      <w:r>
        <w:rPr>
          <w:rFonts w:hint="default" w:ascii="Times New Roman" w:hAnsi="Times New Roman" w:eastAsia="仿宋_GB2312" w:cs="Times New Roman"/>
          <w:sz w:val="32"/>
          <w:szCs w:val="32"/>
        </w:rPr>
        <w:t>。加强监管提升办园质量，规范各类幼儿园办园行为。严格落实《3—6岁儿童学习与发展指南》，遏制“小学化”教育倾向，巩固幼儿园“小学化”专项治理成果，促进“幼小”科学衔接。完善民办幼儿园分类管理实施办法，加强普惠性民办幼儿园建设。推进“大园区”及名师培养活动，充分发挥实验园、机关园、新区园三所示范园的引领辐射作用，提升民办园管理水平。</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大力推进义务教育优质均衡发展。</w:t>
      </w:r>
      <w:r>
        <w:rPr>
          <w:rFonts w:hint="default" w:ascii="Times New Roman" w:hAnsi="Times New Roman" w:eastAsia="仿宋_GB2312" w:cs="Times New Roman"/>
          <w:sz w:val="32"/>
          <w:szCs w:val="32"/>
        </w:rPr>
        <w:t>积极稳妥推进学校布局调整，妥善实施村小和城区周边小规模学校撤并，小学巩固率保持100%，初中巩固率达到98%以上。动态调整编制和岗位，推进义务教育学校设施设备标准化建设，深入推进七个大学区管理。健全完善义务教育大学区管理办法。落实资助政策，不让一个学生因贫辍学。继续完善控辍保学报告、劝返复学等各项制度，落实控辍保学责任制。通过学区调整和改扩建工程，着力消除城区义务教育大班额现象。</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大力推进普通高中育人方式改革。</w:t>
      </w:r>
      <w:r>
        <w:rPr>
          <w:rFonts w:hint="default" w:ascii="Times New Roman" w:hAnsi="Times New Roman" w:eastAsia="仿宋_GB2312" w:cs="Times New Roman"/>
          <w:sz w:val="32"/>
          <w:szCs w:val="32"/>
        </w:rPr>
        <w:t>加大普通高中投入，不断改善普通高中学校办学条件。创新教师培训方式，提升教师新课程实施、学生发展指导和走班教学管理能力；改善校舍条件，提升普通高中办学水平。高中阶段教育毛入学率达到96%以上。全面优化普通高中课程实施。加强实施新课程专项培训，全面实施新课程新教材。创新教学组织管理，建立和完善普通高中学生发展指导制度，不断提高办学质量、高考位次进入地区前列，重点高校录取率实现新突破。</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大力发展现代职业教育。</w:t>
      </w:r>
      <w:r>
        <w:rPr>
          <w:rFonts w:hint="default" w:ascii="Times New Roman" w:hAnsi="Times New Roman" w:eastAsia="仿宋_GB2312" w:cs="Times New Roman"/>
          <w:bCs/>
          <w:sz w:val="32"/>
          <w:szCs w:val="32"/>
        </w:rPr>
        <w:t>健全德技并修、工学结合的育人机制，完善评价机制，规范人才培养全过程，</w:t>
      </w:r>
      <w:r>
        <w:rPr>
          <w:rFonts w:hint="default" w:ascii="Times New Roman" w:hAnsi="Times New Roman" w:eastAsia="仿宋_GB2312" w:cs="Times New Roman"/>
          <w:sz w:val="32"/>
          <w:szCs w:val="32"/>
        </w:rPr>
        <w:t>推进职业教育提升。大力推进基础设施建设。积极推动将全民健身中心划归职业教育中心使用。加大装备配备，加强信息化建设。进一步加强校企合作，加强职业教育和职业技能培训。启动“1+X”证书制度建设试点工作，推动现代职业教育教学体系改革，开展分层分类技能培训，积极服务于乡村振兴和地方经济发展。</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大力办好特殊教育和民族教育。</w:t>
      </w:r>
      <w:r>
        <w:rPr>
          <w:rFonts w:hint="default" w:ascii="Times New Roman" w:hAnsi="Times New Roman" w:eastAsia="仿宋_GB2312" w:cs="Times New Roman"/>
          <w:sz w:val="32"/>
          <w:szCs w:val="32"/>
        </w:rPr>
        <w:t>加大特殊教育资金投入，改善提高办学条件，注重残疾学生潜能开发和缺陷补偿，强化职业素养和职业技能培养，加强残疾学生支持保障服务，促进残疾学生更好融入社会，残疾儿童少年入学率达到96%以上。加大宣传引导，确保残疾儿童入学应入尽入，实施精准帮扶和送教。提升民族教育学校管理干部、教师专业素养和管理水平，科学实施双语教育，健全从学前教育到中小学各阶段有效衔接。扎实推进民族“三语”教学研究和提高“小班化”教学质量，优化整合民族教育资源，有序推进民族教育联合办学。</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推进民办教育规范发展。</w:t>
      </w:r>
      <w:r>
        <w:rPr>
          <w:rFonts w:hint="default" w:ascii="Times New Roman" w:hAnsi="Times New Roman" w:eastAsia="仿宋_GB2312" w:cs="Times New Roman"/>
          <w:sz w:val="32"/>
          <w:szCs w:val="32"/>
        </w:rPr>
        <w:t>深入规范民办教育机构审批程序，严格实行办学准入制度，持续加大督查巡检力度及对违规违法办学的查处整治力度，严厉打击和取缔无证办学机构，进一步完善民办教育联席会议制度，建立部门联动机制，加强对民办教育机构的日常监管，切实强化民办教育机构日常管理，鼓励民办教育有序健康持续发展。积极探索建立违规失信惩戒机制，将违规办学机构及其举办者和负责人纳入诚信“黑名单”，充分利用“黑白名单”制度。以《蛟河市民办教育机构规范化办学评价考核手册》为基准，完善年检和督导评估制度。逐步健全完善民办教育机构管理和评价机制，切实加强对民办教育机构的日常管理和年度考核评价，培树民办教育的先进典型，督促排位靠后的民办学校不断改进、不断提高、共同进步，努力创办高质量的民办教育。</w:t>
      </w: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400" w:lineRule="exact"/>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w:t>
            </w:r>
            <w:r>
              <w:rPr>
                <w:rFonts w:hint="default" w:ascii="Times New Roman" w:hAnsi="Times New Roman" w:eastAsia="仿宋_GB2312" w:cs="Times New Roman"/>
                <w:b/>
                <w:bCs/>
                <w:sz w:val="21"/>
                <w:szCs w:val="21"/>
                <w:lang w:val="en-US" w:eastAsia="zh-CN"/>
              </w:rPr>
              <w:t>19</w:t>
            </w:r>
            <w:r>
              <w:rPr>
                <w:rFonts w:hint="default" w:ascii="Times New Roman" w:hAnsi="Times New Roman" w:eastAsia="仿宋_GB2312" w:cs="Times New Roman"/>
                <w:b/>
                <w:bCs/>
                <w:sz w:val="21"/>
                <w:szCs w:val="21"/>
              </w:rPr>
              <w:t xml:space="preserve"> 教育设施重点项目</w:t>
            </w:r>
          </w:p>
          <w:p>
            <w:pPr>
              <w:spacing w:line="400" w:lineRule="exact"/>
              <w:ind w:firstLine="422" w:firstLineChars="200"/>
              <w:jc w:val="left"/>
              <w:rPr>
                <w:rFonts w:hint="default" w:ascii="Times New Roman" w:hAnsi="Times New Roman" w:eastAsia="仿宋_GB2312" w:cs="Times New Roman"/>
                <w:bCs/>
                <w:sz w:val="21"/>
                <w:szCs w:val="21"/>
              </w:rPr>
            </w:pPr>
            <w:r>
              <w:rPr>
                <w:rFonts w:hint="default" w:ascii="Times New Roman" w:hAnsi="Times New Roman" w:eastAsia="仿宋_GB2312" w:cs="Times New Roman"/>
                <w:b/>
                <w:sz w:val="21"/>
                <w:szCs w:val="21"/>
              </w:rPr>
              <w:t>加快推进学校标准化建设工程。</w:t>
            </w:r>
            <w:r>
              <w:rPr>
                <w:rFonts w:hint="default" w:ascii="Times New Roman" w:hAnsi="Times New Roman" w:eastAsia="仿宋_GB2312" w:cs="Times New Roman"/>
                <w:bCs/>
                <w:sz w:val="21"/>
                <w:szCs w:val="21"/>
              </w:rPr>
              <w:t>到2025年，以全面改善办学条件和能力提升计划为契机，利用国家、省和地方资金，改扩建城区二高中、职业教育实训基地、九中、二实验、天北九年制等9所学校校舍及新建3所公办幼儿园。</w:t>
            </w:r>
          </w:p>
          <w:p>
            <w:pPr>
              <w:spacing w:line="400" w:lineRule="exact"/>
              <w:ind w:firstLine="422" w:firstLineChars="200"/>
              <w:jc w:val="left"/>
              <w:rPr>
                <w:rFonts w:hint="default" w:ascii="Times New Roman" w:hAnsi="Times New Roman" w:eastAsia="仿宋_GB2312" w:cs="Times New Roman"/>
                <w:bCs/>
                <w:sz w:val="21"/>
                <w:szCs w:val="21"/>
              </w:rPr>
            </w:pPr>
            <w:r>
              <w:rPr>
                <w:rFonts w:hint="default" w:ascii="Times New Roman" w:hAnsi="Times New Roman" w:eastAsia="仿宋_GB2312" w:cs="Times New Roman"/>
                <w:b/>
                <w:sz w:val="21"/>
                <w:szCs w:val="21"/>
              </w:rPr>
              <w:t>全市中小学校教育技术装备达到标准化学校水平。</w:t>
            </w:r>
            <w:r>
              <w:rPr>
                <w:rFonts w:hint="default" w:ascii="Times New Roman" w:hAnsi="Times New Roman" w:eastAsia="仿宋_GB2312" w:cs="Times New Roman"/>
                <w:bCs/>
                <w:sz w:val="21"/>
                <w:szCs w:val="21"/>
              </w:rPr>
              <w:t>各项设备配备率达到100%。学校多媒体教学设备100%全覆盖。为29所义务教育学校建设网络云教室。</w:t>
            </w:r>
          </w:p>
          <w:p>
            <w:pPr>
              <w:spacing w:line="400" w:lineRule="exact"/>
              <w:ind w:firstLine="422" w:firstLineChars="200"/>
              <w:jc w:val="left"/>
              <w:rPr>
                <w:rFonts w:hint="default" w:ascii="Times New Roman" w:hAnsi="Times New Roman" w:eastAsia="仿宋_GB2312" w:cs="Times New Roman"/>
                <w:bCs/>
                <w:sz w:val="21"/>
                <w:szCs w:val="21"/>
              </w:rPr>
            </w:pPr>
            <w:r>
              <w:rPr>
                <w:rFonts w:hint="default" w:ascii="Times New Roman" w:hAnsi="Times New Roman" w:eastAsia="仿宋_GB2312" w:cs="Times New Roman"/>
                <w:b/>
                <w:sz w:val="21"/>
                <w:szCs w:val="21"/>
              </w:rPr>
              <w:t>加快推进教育现代化建设水平。</w:t>
            </w:r>
            <w:r>
              <w:rPr>
                <w:rFonts w:hint="default" w:ascii="Times New Roman" w:hAnsi="Times New Roman" w:eastAsia="仿宋_GB2312" w:cs="Times New Roman"/>
                <w:bCs/>
                <w:sz w:val="21"/>
                <w:szCs w:val="21"/>
              </w:rPr>
              <w:t>大力推进“教育信息化2.0行动计划”、“互联网+教育发展”、“智慧校园”建设，建设教育资源平台和教育管理平台，实现优质网络教育资源共享。以STEAM创新教育为抓手，推进中小学创客教育普及。</w:t>
            </w:r>
          </w:p>
        </w:tc>
      </w:tr>
    </w:tbl>
    <w:p>
      <w:pPr>
        <w:ind w:firstLine="0"/>
      </w:pPr>
    </w:p>
    <w:p>
      <w:pPr>
        <w:pStyle w:val="4"/>
        <w:pageBreakBefore w:val="0"/>
        <w:widowControl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54" w:name="_Toc60232829"/>
      <w:bookmarkStart w:id="155" w:name="_Toc54275595"/>
      <w:bookmarkStart w:id="156" w:name="_Toc8498"/>
      <w:bookmarkStart w:id="157" w:name="_Toc55314919"/>
      <w:r>
        <w:rPr>
          <w:rFonts w:hint="eastAsia" w:ascii="方正小标宋简体" w:hAnsi="方正小标宋简体" w:eastAsia="方正小标宋简体" w:cs="方正小标宋简体"/>
          <w:b w:val="0"/>
          <w:bCs w:val="0"/>
          <w:sz w:val="32"/>
          <w:szCs w:val="32"/>
        </w:rPr>
        <w:t>提升卫生应急能力和服务能力</w:t>
      </w:r>
      <w:bookmarkEnd w:id="154"/>
      <w:bookmarkEnd w:id="155"/>
      <w:bookmarkEnd w:id="156"/>
      <w:bookmarkEnd w:id="157"/>
    </w:p>
    <w:p>
      <w:pPr>
        <w:rPr>
          <w:rFonts w:hint="default"/>
        </w:rPr>
      </w:pPr>
    </w:p>
    <w:p>
      <w:pPr>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进一步优化公共卫生服务体系，建立稳定的公共卫生事业投入机制，补齐公共</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"http://www.zhanhuigang.com/zhuanti-10000008.html" \t "_blank" \o "医疗展会专题"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医疗</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卫生服务短板。完善硬件设施建设，医疗设备配置与服务能力相匹配，推进健康蛟河建设，深化医药卫生体制改革，提升突发公共卫生事件应急能力，突出公共卫生、医疗急救能力建设，大力发展中医药，强化服务支撑，提高卫生健康队伍的整体素质。</w:t>
      </w:r>
    </w:p>
    <w:p>
      <w:pPr>
        <w:pStyle w:val="5"/>
        <w:pageBreakBefore w:val="0"/>
        <w:widowControl w:val="0"/>
        <w:numPr>
          <w:ilvl w:val="0"/>
          <w:numId w:val="21"/>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58" w:name="_Toc55314920"/>
      <w:bookmarkStart w:id="159" w:name="_Toc6554"/>
      <w:bookmarkStart w:id="160" w:name="_Toc435775316"/>
      <w:r>
        <w:rPr>
          <w:rFonts w:hint="eastAsia" w:ascii="方正小标宋简体" w:hAnsi="方正小标宋简体" w:eastAsia="方正小标宋简体" w:cs="方正小标宋简体"/>
          <w:b w:val="0"/>
          <w:bCs w:val="0"/>
          <w:sz w:val="32"/>
          <w:szCs w:val="32"/>
        </w:rPr>
        <w:t>提升应对突发重大公共卫生事件能力</w:t>
      </w:r>
      <w:bookmarkEnd w:id="158"/>
      <w:bookmarkEnd w:id="159"/>
    </w:p>
    <w:p>
      <w:pPr>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加大财政对公共卫生投入力度，优化医疗卫生资源投入结构，加强基层防控能力建设，推动医疗服务与公共卫生服务无缝对接，满足医疗机构需求，提高应对突发重大公共卫生事件的能力。</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加强乡村两级医疗卫生机构的公共卫生服务功能。</w:t>
      </w:r>
      <w:r>
        <w:rPr>
          <w:rFonts w:hint="default" w:ascii="Times New Roman" w:hAnsi="Times New Roman" w:eastAsia="仿宋_GB2312" w:cs="Times New Roman"/>
          <w:sz w:val="32"/>
          <w:szCs w:val="32"/>
        </w:rPr>
        <w:t>完善公共卫生服务体系，提升公共卫生服务能力。加强重大慢性非传染性疾病防控，建立健全疾病预防控制、健康教育、妇幼保健、精神卫生、应急救治、采供血、卫生监督和计划生育等专业公共卫生服务网络，完善以基层医疗卫生服务网络为基础的医疗服务体系的公共卫生服务功能，建立分工明确、信息互通、资源共享、协调互动的公共卫生服务体系，提高公共卫生服务和突发公共卫生事件应急处置能力，促进城乡居民逐步享有均等化的基本公共卫生服务。</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加强重大传染病防控管理。</w:t>
      </w:r>
      <w:r>
        <w:rPr>
          <w:rStyle w:val="56"/>
          <w:rFonts w:hint="default" w:ascii="Times New Roman" w:hAnsi="Times New Roman" w:eastAsia="仿宋_GB2312" w:cs="Times New Roman"/>
          <w:sz w:val="32"/>
          <w:szCs w:val="32"/>
          <w:lang w:eastAsia="zh-CN"/>
        </w:rPr>
        <w:t>坚持疫情防控常态化管理，</w:t>
      </w:r>
      <w:r>
        <w:rPr>
          <w:rStyle w:val="56"/>
          <w:rFonts w:hint="default" w:ascii="Times New Roman" w:hAnsi="Times New Roman" w:eastAsia="仿宋_GB2312" w:cs="Times New Roman"/>
          <w:sz w:val="32"/>
          <w:szCs w:val="32"/>
        </w:rPr>
        <w:t>抓好“外</w:t>
      </w:r>
      <w:r>
        <w:rPr>
          <w:rStyle w:val="56"/>
          <w:rFonts w:hint="default" w:ascii="Times New Roman" w:hAnsi="Times New Roman" w:eastAsia="仿宋_GB2312" w:cs="Times New Roman"/>
          <w:sz w:val="32"/>
          <w:szCs w:val="32"/>
          <w:lang w:eastAsia="zh-CN"/>
        </w:rPr>
        <w:t>防</w:t>
      </w:r>
      <w:r>
        <w:rPr>
          <w:rStyle w:val="56"/>
          <w:rFonts w:hint="default" w:ascii="Times New Roman" w:hAnsi="Times New Roman" w:eastAsia="仿宋_GB2312" w:cs="Times New Roman"/>
          <w:sz w:val="32"/>
          <w:szCs w:val="32"/>
        </w:rPr>
        <w:t>输入、内防扩散”两大环节</w:t>
      </w:r>
      <w:r>
        <w:rPr>
          <w:rStyle w:val="56"/>
          <w:rFonts w:hint="default" w:ascii="Times New Roman" w:hAnsi="Times New Roman" w:eastAsia="仿宋_GB2312" w:cs="Times New Roman"/>
          <w:sz w:val="32"/>
          <w:szCs w:val="32"/>
          <w:lang w:eastAsia="zh-CN"/>
        </w:rPr>
        <w:t>，</w:t>
      </w:r>
      <w:r>
        <w:rPr>
          <w:rStyle w:val="56"/>
          <w:rFonts w:hint="default" w:ascii="Times New Roman" w:hAnsi="Times New Roman" w:eastAsia="仿宋_GB2312" w:cs="Times New Roman"/>
          <w:sz w:val="32"/>
          <w:szCs w:val="32"/>
        </w:rPr>
        <w:t>落实落细防控措施。</w:t>
      </w:r>
      <w:r>
        <w:rPr>
          <w:rFonts w:hint="default" w:ascii="Times New Roman" w:hAnsi="Times New Roman" w:eastAsia="仿宋_GB2312" w:cs="Times New Roman"/>
          <w:sz w:val="32"/>
          <w:szCs w:val="32"/>
        </w:rPr>
        <w:t>加强传染病监测预警，积极推进医疗卫生机构疾病监测报告信息化，进一步提高传染病监测报告质量。落实国家免疫规划政策，根据需求逐步扩大免疫规划疫苗种类及覆盖面，完善预防接种异常反应补偿保险机制，加强疫苗储运冷链建设与预防接种单位监管，有效防控疫苗针对性疾病。严格落实国家艾滋病、结核病、地方病防治政策，重点加强艾滋病、结核病、地方病、职业病等重大疾病防治能力建设。</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61" w:name="_Toc10744"/>
      <w:bookmarkStart w:id="162" w:name="_Toc55314921"/>
      <w:r>
        <w:rPr>
          <w:rFonts w:hint="eastAsia" w:ascii="方正小标宋简体" w:hAnsi="方正小标宋简体" w:eastAsia="方正小标宋简体" w:cs="方正小标宋简体"/>
          <w:b w:val="0"/>
          <w:bCs w:val="0"/>
          <w:sz w:val="32"/>
          <w:szCs w:val="32"/>
        </w:rPr>
        <w:t>深化医药卫生体制改革</w:t>
      </w:r>
      <w:bookmarkEnd w:id="161"/>
      <w:bookmarkEnd w:id="162"/>
    </w:p>
    <w:p>
      <w:pPr>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深入实施健康中国行动。</w:t>
      </w:r>
      <w:r>
        <w:rPr>
          <w:rFonts w:hint="default" w:ascii="Times New Roman" w:hAnsi="Times New Roman" w:eastAsia="仿宋_GB2312" w:cs="Times New Roman"/>
          <w:sz w:val="32"/>
          <w:szCs w:val="32"/>
        </w:rPr>
        <w:t>持续改善生产生活环境，倡导健康文明生活方式，加强重点人群健康促进，提升慢性病防治水平，加大传染病、地方病、职业病等防治力度。</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深化公立医院综合改革</w:t>
      </w:r>
      <w:r>
        <w:rPr>
          <w:rFonts w:hint="default" w:ascii="Times New Roman" w:hAnsi="Times New Roman" w:eastAsia="仿宋_GB2312" w:cs="Times New Roman"/>
          <w:sz w:val="32"/>
          <w:szCs w:val="32"/>
        </w:rPr>
        <w:t>。健全医疗卫生机构和医务人员绩效考核机制，建立和完善医疗服务价格动态调整机制，深化薪酬制度和编制管理改革，落实政府对符合区域卫生规划的公立医院基本建设和设备购置等投入政策，加大对中医医院、传染病医院的支持力度。</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深化医疗保障制度改革</w:t>
      </w:r>
      <w:r>
        <w:rPr>
          <w:rFonts w:hint="default" w:ascii="Times New Roman" w:hAnsi="Times New Roman" w:eastAsia="仿宋_GB2312" w:cs="Times New Roman"/>
          <w:sz w:val="32"/>
          <w:szCs w:val="32"/>
        </w:rPr>
        <w:t>。提高基本医疗保障水平，推进医保支付方式改革，加强医保基金管理，健全监管机制，加快发展商业健康保险。持续健全完善制度体系，增强制度的公平性、可持续性。全力推动医保领域改革落地见效，持续放大改革红利和效应。</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健全药品供应保障体系。</w:t>
      </w:r>
      <w:r>
        <w:rPr>
          <w:rFonts w:hint="default" w:ascii="Times New Roman" w:hAnsi="Times New Roman" w:eastAsia="仿宋_GB2312" w:cs="Times New Roman"/>
          <w:sz w:val="32"/>
          <w:szCs w:val="32"/>
        </w:rPr>
        <w:t>完善药品耗材采购政策，促进科学合理用药，加强药品耗材使用监管，做好短缺药品保供稳价工作。加强基本药物、特殊药品等监管，开展药械专项整治，对药品生产流通使用环节存在的违法违规行为严厉查处，确保质量安全。</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统筹推进相关重点改革。</w:t>
      </w:r>
      <w:r>
        <w:rPr>
          <w:rFonts w:hint="default" w:ascii="Times New Roman" w:hAnsi="Times New Roman" w:eastAsia="仿宋_GB2312" w:cs="Times New Roman"/>
          <w:sz w:val="32"/>
          <w:szCs w:val="32"/>
        </w:rPr>
        <w:t>继续推进区域医疗中心建设，推动优质医疗资源扩容下沉和均衡布局，建立与区域医疗中心相适应的管理体制和运行机制，推进分级诊疗和医药卫生信息化建设。促进中医药振兴发展，扎实做好健康扶贫，完善医疗卫生行业综合监管协调和督察机制。</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63" w:name="_Toc30986"/>
      <w:bookmarkStart w:id="164" w:name="_Toc55314922"/>
      <w:r>
        <w:rPr>
          <w:rFonts w:hint="eastAsia" w:ascii="方正小标宋简体" w:hAnsi="方正小标宋简体" w:eastAsia="方正小标宋简体" w:cs="方正小标宋简体"/>
          <w:b w:val="0"/>
          <w:bCs w:val="0"/>
          <w:sz w:val="32"/>
          <w:szCs w:val="32"/>
        </w:rPr>
        <w:t>提供优质医疗服务</w:t>
      </w:r>
      <w:bookmarkEnd w:id="163"/>
      <w:bookmarkEnd w:id="164"/>
    </w:p>
    <w:p>
      <w:pPr>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完善医疗卫生服务体系。</w:t>
      </w:r>
      <w:r>
        <w:rPr>
          <w:rFonts w:hint="default" w:ascii="Times New Roman" w:hAnsi="Times New Roman" w:eastAsia="仿宋_GB2312" w:cs="Times New Roman"/>
          <w:sz w:val="32"/>
          <w:szCs w:val="32"/>
        </w:rPr>
        <w:t>构建体系完整、分工明确、功能互补、密切协作、运行高效的整合型医疗卫生服务体系。</w:t>
      </w:r>
      <w:r>
        <w:rPr>
          <w:rFonts w:hint="default" w:ascii="Times New Roman" w:hAnsi="Times New Roman" w:eastAsia="仿宋_GB2312" w:cs="Times New Roman"/>
          <w:bCs/>
          <w:spacing w:val="-2"/>
          <w:sz w:val="32"/>
          <w:szCs w:val="32"/>
        </w:rPr>
        <w:t>提升“120”绿色通道的服务能力，建立健全城乡急救服务联动机制。</w:t>
      </w:r>
      <w:r>
        <w:rPr>
          <w:rFonts w:hint="default" w:ascii="Times New Roman" w:hAnsi="Times New Roman" w:eastAsia="仿宋_GB2312" w:cs="Times New Roman"/>
          <w:sz w:val="32"/>
          <w:szCs w:val="32"/>
        </w:rPr>
        <w:t>统筹配置区域医疗卫生资源，</w:t>
      </w:r>
      <w:r>
        <w:rPr>
          <w:rFonts w:hint="default" w:ascii="Times New Roman" w:hAnsi="Times New Roman" w:eastAsia="仿宋_GB2312" w:cs="Times New Roman"/>
          <w:bCs/>
          <w:spacing w:val="-2"/>
          <w:sz w:val="32"/>
          <w:szCs w:val="32"/>
        </w:rPr>
        <w:t>引导社会资本投资护理康复医院、专科医院等短缺医疗资源。</w:t>
      </w:r>
      <w:r>
        <w:rPr>
          <w:rFonts w:hint="default" w:ascii="Times New Roman" w:hAnsi="Times New Roman" w:eastAsia="仿宋_GB2312" w:cs="Times New Roman"/>
          <w:sz w:val="32"/>
          <w:szCs w:val="32"/>
        </w:rPr>
        <w:t>严格控制公立医院床位规模和建设标准，合理增加儿童、妇产、肿瘤、康复等专科资源，实现发展模式由数量增长向质量提升转变。基本实现优质资源配置均衡化，人人享有危急重症、疑难病症诊疗和专科医疗服务。有效增加基层医疗卫生资源供给，全面提升县级公立医院综合能力。加强康复、老年病、长期护理、慢性病管理、临终关怀等接续性医疗机构建设。</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转变医疗卫生服务模式。</w:t>
      </w:r>
      <w:r>
        <w:rPr>
          <w:rFonts w:hint="default" w:ascii="Times New Roman" w:hAnsi="Times New Roman" w:eastAsia="仿宋_GB2312" w:cs="Times New Roman"/>
          <w:sz w:val="32"/>
          <w:szCs w:val="32"/>
        </w:rPr>
        <w:t>健全完善分工协作体系，通过分级诊疗、医疗联合体、医院集团等多种分工协作模式，提高服务体系整体绩效，建立不同层级、不同类别、不同举办主体的分工协作机制，不断完善服务网络、运行机制和激励机制，基层普遍具备居民健康守门人的能力。完善家庭医生签约服务，将签约服务扩大到全人群，形成长期稳定的契约服务关系，基本实现家庭医生签约服务制度全覆盖。全面建立成熟完善的分级诊疗制度，形成基层首诊、双向转诊、上下联动、急慢分治的合理就医秩序，健全治疗—康复—长期护理服务链。</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rPr>
        <w:t>强化医疗卫生服务质量。</w:t>
      </w:r>
      <w:r>
        <w:rPr>
          <w:rFonts w:hint="default" w:ascii="Times New Roman" w:hAnsi="Times New Roman" w:eastAsia="仿宋_GB2312" w:cs="Times New Roman"/>
          <w:sz w:val="32"/>
          <w:szCs w:val="32"/>
        </w:rPr>
        <w:t>加强医疗机构内涵建设，不断提升诊疗能力和服务水平。</w:t>
      </w:r>
      <w:r>
        <w:rPr>
          <w:rFonts w:hint="default" w:ascii="Times New Roman" w:hAnsi="Times New Roman" w:eastAsia="仿宋_GB2312" w:cs="Times New Roman"/>
          <w:bCs/>
          <w:spacing w:val="-2"/>
          <w:sz w:val="32"/>
          <w:szCs w:val="32"/>
        </w:rPr>
        <w:t>发展5G商用技术用于远程医疗救治，利用信息化平台推进市、乡、村医疗机构医联体建设，使市域内实现同质化医疗服务。</w:t>
      </w:r>
      <w:r>
        <w:rPr>
          <w:rFonts w:hint="default" w:ascii="Times New Roman" w:hAnsi="Times New Roman" w:eastAsia="仿宋_GB2312" w:cs="Times New Roman"/>
          <w:sz w:val="32"/>
          <w:szCs w:val="32"/>
        </w:rPr>
        <w:t>实施电子病历和临床路径管理，规范门急诊诊疗行为，优化诊疗流程。</w:t>
      </w:r>
      <w:r>
        <w:rPr>
          <w:rFonts w:hint="default" w:ascii="Times New Roman" w:hAnsi="Times New Roman" w:eastAsia="仿宋_GB2312" w:cs="Times New Roman"/>
          <w:bCs/>
          <w:sz w:val="32"/>
          <w:szCs w:val="32"/>
          <w:shd w:val="clear" w:color="auto" w:fill="FFFFFF"/>
        </w:rPr>
        <w:t>打造区域内专科特色</w:t>
      </w:r>
      <w:r>
        <w:rPr>
          <w:rFonts w:hint="default" w:ascii="Times New Roman" w:hAnsi="Times New Roman" w:eastAsia="仿宋_GB2312" w:cs="Times New Roman"/>
          <w:sz w:val="32"/>
          <w:szCs w:val="32"/>
          <w:shd w:val="clear" w:color="auto" w:fill="FFFFFF"/>
        </w:rPr>
        <w:t>，重点突破中医康复和肿瘤治疗瓶颈，打造区域康复中心和肿瘤化疗中心。</w:t>
      </w:r>
      <w:r>
        <w:rPr>
          <w:rFonts w:hint="default" w:ascii="Times New Roman" w:hAnsi="Times New Roman" w:eastAsia="仿宋_GB2312" w:cs="Times New Roman"/>
          <w:bCs/>
          <w:sz w:val="32"/>
          <w:szCs w:val="32"/>
          <w:shd w:val="clear" w:color="auto" w:fill="FFFFFF"/>
        </w:rPr>
        <w:t>构建医疗专科联盟。</w:t>
      </w:r>
      <w:r>
        <w:rPr>
          <w:rFonts w:hint="default" w:ascii="Times New Roman" w:hAnsi="Times New Roman" w:eastAsia="仿宋_GB2312" w:cs="Times New Roman"/>
          <w:sz w:val="32"/>
          <w:szCs w:val="32"/>
          <w:shd w:val="clear" w:color="auto" w:fill="FFFFFF"/>
        </w:rPr>
        <w:t>重新定位眼科、耳鼻喉科、肿瘤科发展。</w:t>
      </w:r>
      <w:r>
        <w:rPr>
          <w:rFonts w:hint="default" w:ascii="Times New Roman" w:hAnsi="Times New Roman" w:eastAsia="仿宋_GB2312" w:cs="Times New Roman"/>
          <w:sz w:val="32"/>
          <w:szCs w:val="32"/>
        </w:rPr>
        <w:t>进一步发挥临床药师的作用，推进合理用药。加强采供血管理，保障临床用血安全，全面推行“优质护理服务”，实施整体护理模式，整体提升护理服务水平。加强平安医院建设，建立多部门合作机制，推进医疗纠纷预防和处理法治建设。加强医学人文关怀，进一步完善医疗风险分散机制，构建和谐医患关系。加强医疗机构信用管理和行业诚信作风建设，开展医务人员医德综合评价，惩戒过度诊疗等违法和失信行为。全面加强医疗卫生行业作风建设，建立健全惩治和预防腐败体系。</w:t>
      </w:r>
    </w:p>
    <w:bookmarkEnd w:id="160"/>
    <w:p>
      <w:pPr>
        <w:pageBreakBefore w:val="0"/>
        <w:widowControl w:val="0"/>
        <w:kinsoku/>
        <w:wordWrap/>
        <w:overflowPunct/>
        <w:topLinePunct w:val="0"/>
        <w:autoSpaceDE/>
        <w:autoSpaceDN/>
        <w:bidi w:val="0"/>
        <w:adjustRightInd/>
        <w:snapToGrid/>
        <w:spacing w:line="540" w:lineRule="exact"/>
        <w:ind w:left="0" w:leftChars="0" w:firstLine="643" w:firstLineChars="200"/>
        <w:textAlignment w:val="auto"/>
        <w:rPr>
          <w:rFonts w:hint="default" w:ascii="Times New Roman" w:hAnsi="Times New Roman" w:eastAsia="仿宋_GB2312" w:cs="Times New Roman"/>
          <w:sz w:val="32"/>
          <w:szCs w:val="32"/>
        </w:rPr>
      </w:pPr>
      <w:bookmarkStart w:id="165" w:name="_Toc435775317"/>
      <w:r>
        <w:rPr>
          <w:rFonts w:hint="default" w:ascii="Times New Roman" w:hAnsi="Times New Roman" w:eastAsia="仿宋_GB2312" w:cs="Times New Roman"/>
          <w:b/>
          <w:sz w:val="32"/>
          <w:szCs w:val="32"/>
        </w:rPr>
        <w:t>加快改善就医环境</w:t>
      </w:r>
      <w:bookmarkEnd w:id="165"/>
      <w:r>
        <w:rPr>
          <w:rFonts w:hint="default" w:ascii="Times New Roman" w:hAnsi="Times New Roman" w:eastAsia="仿宋_GB2312" w:cs="Times New Roman"/>
          <w:b/>
          <w:sz w:val="32"/>
          <w:szCs w:val="32"/>
        </w:rPr>
        <w:t>。</w:t>
      </w:r>
      <w:r>
        <w:rPr>
          <w:rFonts w:hint="default" w:ascii="Times New Roman" w:hAnsi="Times New Roman" w:eastAsia="仿宋_GB2312" w:cs="Times New Roman"/>
          <w:sz w:val="32"/>
          <w:szCs w:val="32"/>
        </w:rPr>
        <w:t>建立结构合理、环境优美、覆盖城乡的医疗卫生体系。推进市医院、中医院扩建项目，疾控中心、乡镇卫生院和城市社区服务中心基础设施改造项目，乡镇卫生院、城市社区卫生服务中心业务用房全部达标；完成全部村卫生室标准化建设任务，</w:t>
      </w:r>
      <w:r>
        <w:rPr>
          <w:rFonts w:hint="default" w:ascii="Times New Roman" w:hAnsi="Times New Roman" w:eastAsia="仿宋_GB2312" w:cs="Times New Roman"/>
          <w:sz w:val="32"/>
          <w:szCs w:val="32"/>
          <w:lang w:eastAsia="zh-CN"/>
        </w:rPr>
        <w:t>加快推进</w:t>
      </w:r>
      <w:r>
        <w:rPr>
          <w:rFonts w:hint="default" w:ascii="Times New Roman" w:hAnsi="Times New Roman" w:eastAsia="仿宋_GB2312" w:cs="Times New Roman"/>
          <w:sz w:val="32"/>
          <w:szCs w:val="32"/>
        </w:rPr>
        <w:t>信息化平台建设。</w:t>
      </w:r>
    </w:p>
    <w:p>
      <w:pPr>
        <w:pStyle w:val="2"/>
        <w:pageBreakBefore w:val="0"/>
        <w:widowControl w:val="0"/>
        <w:kinsoku/>
        <w:wordWrap/>
        <w:overflowPunct/>
        <w:topLinePunct w:val="0"/>
        <w:autoSpaceDE/>
        <w:autoSpaceDN/>
        <w:bidi w:val="0"/>
        <w:adjustRightInd/>
        <w:snapToGrid/>
        <w:spacing w:line="540" w:lineRule="exact"/>
        <w:textAlignment w:val="auto"/>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40" w:lineRule="exact"/>
        <w:ind w:left="0"/>
        <w:textAlignment w:val="auto"/>
        <w:rPr>
          <w:rFonts w:hint="eastAsia" w:ascii="方正小标宋简体" w:hAnsi="方正小标宋简体" w:eastAsia="方正小标宋简体" w:cs="方正小标宋简体"/>
          <w:b w:val="0"/>
          <w:bCs w:val="0"/>
          <w:sz w:val="32"/>
          <w:szCs w:val="32"/>
        </w:rPr>
      </w:pPr>
      <w:bookmarkStart w:id="166" w:name="_Toc55314923"/>
      <w:bookmarkStart w:id="167" w:name="_Toc1151"/>
      <w:r>
        <w:rPr>
          <w:rFonts w:hint="eastAsia" w:ascii="方正小标宋简体" w:hAnsi="方正小标宋简体" w:eastAsia="方正小标宋简体" w:cs="方正小标宋简体"/>
          <w:b w:val="0"/>
          <w:bCs w:val="0"/>
          <w:sz w:val="32"/>
          <w:szCs w:val="32"/>
        </w:rPr>
        <w:t>促进中医药事业健康发展</w:t>
      </w:r>
      <w:bookmarkEnd w:id="166"/>
      <w:bookmarkEnd w:id="167"/>
    </w:p>
    <w:p>
      <w:pPr>
        <w:pageBreakBefore w:val="0"/>
        <w:widowControl w:val="0"/>
        <w:kinsoku/>
        <w:wordWrap/>
        <w:overflowPunct/>
        <w:topLinePunct w:val="0"/>
        <w:autoSpaceDE/>
        <w:autoSpaceDN/>
        <w:bidi w:val="0"/>
        <w:adjustRightInd/>
        <w:snapToGrid/>
        <w:spacing w:line="540" w:lineRule="exact"/>
        <w:textAlignment w:val="auto"/>
        <w:rPr>
          <w:rFonts w:hint="default"/>
        </w:rPr>
      </w:pPr>
    </w:p>
    <w:p>
      <w:pPr>
        <w:pageBreakBefore w:val="0"/>
        <w:widowControl w:val="0"/>
        <w:kinsoku/>
        <w:wordWrap/>
        <w:overflowPunct/>
        <w:topLinePunct w:val="0"/>
        <w:autoSpaceDE/>
        <w:autoSpaceDN/>
        <w:bidi w:val="0"/>
        <w:adjustRightInd/>
        <w:snapToGrid/>
        <w:spacing w:line="540" w:lineRule="exact"/>
        <w:ind w:left="0" w:leftChars="0" w:firstLine="643" w:firstLineChars="200"/>
        <w:textAlignment w:val="auto"/>
        <w:rPr>
          <w:rFonts w:hint="default" w:ascii="Times New Roman" w:hAnsi="Times New Roman" w:eastAsia="仿宋_GB2312" w:cs="Times New Roman"/>
          <w:sz w:val="32"/>
          <w:szCs w:val="32"/>
        </w:rPr>
      </w:pPr>
      <w:bookmarkStart w:id="168" w:name="_Toc435775319"/>
      <w:r>
        <w:rPr>
          <w:rFonts w:hint="default" w:ascii="Times New Roman" w:hAnsi="Times New Roman" w:eastAsia="仿宋_GB2312" w:cs="Times New Roman"/>
          <w:b/>
          <w:bCs/>
          <w:sz w:val="32"/>
          <w:szCs w:val="32"/>
        </w:rPr>
        <w:t>实施中医临床优势培育工程。</w:t>
      </w:r>
      <w:r>
        <w:rPr>
          <w:rFonts w:hint="default" w:ascii="Times New Roman" w:hAnsi="Times New Roman" w:eastAsia="仿宋_GB2312" w:cs="Times New Roman"/>
          <w:sz w:val="32"/>
          <w:szCs w:val="32"/>
        </w:rPr>
        <w:t>重点加强中医药专科建设，不断提升中医药防治重大疑难病水平。大力发展中医非药物疗法，</w:t>
      </w:r>
      <w:r>
        <w:rPr>
          <w:rFonts w:hint="default" w:ascii="Times New Roman" w:hAnsi="Times New Roman" w:eastAsia="仿宋_GB2312" w:cs="Times New Roman"/>
          <w:sz w:val="32"/>
          <w:szCs w:val="32"/>
          <w:lang w:eastAsia="zh-CN"/>
        </w:rPr>
        <w:t>充分发挥</w:t>
      </w:r>
      <w:r>
        <w:rPr>
          <w:rFonts w:hint="default" w:ascii="Times New Roman" w:hAnsi="Times New Roman" w:eastAsia="仿宋_GB2312" w:cs="Times New Roman"/>
          <w:sz w:val="32"/>
          <w:szCs w:val="32"/>
        </w:rPr>
        <w:t>其在常见病、多发病和慢性病防治中</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独特作用。发展中医特色康复服务，健全覆盖城乡的中医医疗保健服务体系。扶持有中医药特色和优势的医疗机构发展。</w:t>
      </w:r>
    </w:p>
    <w:p>
      <w:pPr>
        <w:pageBreakBefore w:val="0"/>
        <w:widowControl w:val="0"/>
        <w:kinsoku/>
        <w:wordWrap/>
        <w:overflowPunct/>
        <w:topLinePunct w:val="0"/>
        <w:autoSpaceDE/>
        <w:autoSpaceDN/>
        <w:bidi w:val="0"/>
        <w:adjustRightInd/>
        <w:snapToGrid/>
        <w:spacing w:line="54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发展中医治未病服务。</w:t>
      </w:r>
      <w:r>
        <w:rPr>
          <w:rFonts w:hint="default" w:ascii="Times New Roman" w:hAnsi="Times New Roman" w:eastAsia="仿宋_GB2312" w:cs="Times New Roman"/>
          <w:sz w:val="32"/>
          <w:szCs w:val="32"/>
        </w:rPr>
        <w:t>充分发挥中医药服务在治未病中的主导作用、在重大疾病治疗中的协同作用、在疾病康复中的核心作用，加强中医预防保健服务体系建设，发挥中医医院在治未病服务方面的示范引领作用，扩大中医预防保健服务覆盖面。丰富中医治未病内涵，将中医药优势与健康管理结合，以慢性病管理为重点，以治未病理念为核心，探索融健康文化、健康管理、健康保险为一体的中医健康保障模式。拓展中医医院服务领域，为群众提供中医健康咨询评估、干预调理、随访管理等治未病服务。</w:t>
      </w:r>
    </w:p>
    <w:p>
      <w:pPr>
        <w:pageBreakBefore w:val="0"/>
        <w:widowControl w:val="0"/>
        <w:kinsoku/>
        <w:wordWrap/>
        <w:overflowPunct/>
        <w:topLinePunct w:val="0"/>
        <w:autoSpaceDE/>
        <w:autoSpaceDN/>
        <w:bidi w:val="0"/>
        <w:adjustRightInd/>
        <w:snapToGrid/>
        <w:spacing w:line="54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推进中医药传承创新。</w:t>
      </w:r>
      <w:r>
        <w:rPr>
          <w:rFonts w:hint="default" w:ascii="Times New Roman" w:hAnsi="Times New Roman" w:eastAsia="仿宋_GB2312" w:cs="Times New Roman"/>
          <w:sz w:val="32"/>
          <w:szCs w:val="32"/>
        </w:rPr>
        <w:t>实施中医药传承创新工程。加强名老中医工作室建设，弘扬当代名老中医药专家学术思想，挖掘整理中医药特色诊疗经验和技术。促进中医药健康文化素养提升，推动中医药事业发展。</w:t>
      </w:r>
      <w:bookmarkEnd w:id="168"/>
    </w:p>
    <w:p>
      <w:pPr>
        <w:pStyle w:val="5"/>
        <w:pageBreakBefore w:val="0"/>
        <w:widowControl w:val="0"/>
        <w:kinsoku/>
        <w:wordWrap/>
        <w:overflowPunct/>
        <w:topLinePunct w:val="0"/>
        <w:autoSpaceDE/>
        <w:autoSpaceDN/>
        <w:bidi w:val="0"/>
        <w:adjustRightInd/>
        <w:snapToGrid/>
        <w:spacing w:before="0" w:beforeLines="0" w:after="0" w:afterLines="0" w:line="540" w:lineRule="exact"/>
        <w:ind w:left="0"/>
        <w:textAlignment w:val="auto"/>
        <w:rPr>
          <w:rFonts w:hint="eastAsia" w:ascii="方正小标宋简体" w:hAnsi="方正小标宋简体" w:eastAsia="方正小标宋简体" w:cs="方正小标宋简体"/>
          <w:b w:val="0"/>
          <w:bCs w:val="0"/>
          <w:sz w:val="32"/>
          <w:szCs w:val="32"/>
        </w:rPr>
      </w:pPr>
      <w:bookmarkStart w:id="169" w:name="_Toc19603"/>
      <w:bookmarkStart w:id="170" w:name="_Toc55314924"/>
      <w:r>
        <w:rPr>
          <w:rFonts w:hint="eastAsia" w:ascii="方正小标宋简体" w:hAnsi="方正小标宋简体" w:eastAsia="方正小标宋简体" w:cs="方正小标宋简体"/>
          <w:b w:val="0"/>
          <w:bCs w:val="0"/>
          <w:sz w:val="32"/>
          <w:szCs w:val="32"/>
        </w:rPr>
        <w:t>加强重点人群健康服务</w:t>
      </w:r>
      <w:bookmarkEnd w:id="169"/>
      <w:bookmarkEnd w:id="170"/>
    </w:p>
    <w:p>
      <w:pPr>
        <w:pageBreakBefore w:val="0"/>
        <w:widowControl w:val="0"/>
        <w:kinsoku/>
        <w:wordWrap/>
        <w:overflowPunct/>
        <w:topLinePunct w:val="0"/>
        <w:autoSpaceDE/>
        <w:autoSpaceDN/>
        <w:bidi w:val="0"/>
        <w:adjustRightInd/>
        <w:snapToGrid/>
        <w:spacing w:line="540" w:lineRule="exact"/>
        <w:textAlignment w:val="auto"/>
        <w:rPr>
          <w:rFonts w:hint="default"/>
        </w:rPr>
      </w:pPr>
    </w:p>
    <w:p>
      <w:pPr>
        <w:pageBreakBefore w:val="0"/>
        <w:widowControl w:val="0"/>
        <w:kinsoku/>
        <w:wordWrap/>
        <w:overflowPunct/>
        <w:topLinePunct w:val="0"/>
        <w:autoSpaceDE/>
        <w:autoSpaceDN/>
        <w:bidi w:val="0"/>
        <w:adjustRightInd/>
        <w:snapToGrid/>
        <w:spacing w:line="54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维护残疾人健康。</w:t>
      </w:r>
      <w:r>
        <w:rPr>
          <w:rFonts w:hint="default" w:ascii="Times New Roman" w:hAnsi="Times New Roman" w:eastAsia="仿宋_GB2312" w:cs="Times New Roman"/>
          <w:sz w:val="32"/>
          <w:szCs w:val="32"/>
        </w:rPr>
        <w:t>制定实施残疾预防和残疾人康复条例，加大</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符合条件的低收人</w:t>
      </w:r>
      <w:r>
        <w:rPr>
          <w:rFonts w:hint="default" w:ascii="Times New Roman" w:hAnsi="Times New Roman" w:eastAsia="仿宋_GB2312" w:cs="Times New Roman"/>
          <w:sz w:val="32"/>
          <w:szCs w:val="32"/>
          <w:lang w:eastAsia="zh-CN"/>
        </w:rPr>
        <w:t>及</w:t>
      </w:r>
      <w:r>
        <w:rPr>
          <w:rFonts w:hint="default" w:ascii="Times New Roman" w:hAnsi="Times New Roman" w:eastAsia="仿宋_GB2312" w:cs="Times New Roman"/>
          <w:sz w:val="32"/>
          <w:szCs w:val="32"/>
        </w:rPr>
        <w:t>残疾人医疗救助力度，将符合条件的残疾人医疗康复项目按规定纳入基本医疗保险支付范围。建立残疾儿童康复救助制度，将残疾人康复纳入基本公共服务，实施精准康复，为城乡贫困残疾人、重度残疾人提供基本康复服务。完善医疗机构无障碍设施，改善残疾人医疗服务。</w:t>
      </w:r>
    </w:p>
    <w:p>
      <w:pPr>
        <w:pageBreakBefore w:val="0"/>
        <w:widowControl w:val="0"/>
        <w:kinsoku/>
        <w:wordWrap/>
        <w:overflowPunct/>
        <w:topLinePunct w:val="0"/>
        <w:autoSpaceDE/>
        <w:autoSpaceDN/>
        <w:bidi w:val="0"/>
        <w:adjustRightInd/>
        <w:snapToGrid/>
        <w:spacing w:line="540" w:lineRule="exact"/>
        <w:ind w:left="0" w:leftChars="0" w:firstLine="643" w:firstLineChars="200"/>
        <w:textAlignment w:val="auto"/>
        <w:rPr>
          <w:rFonts w:hint="default"/>
        </w:rPr>
      </w:pPr>
      <w:r>
        <w:rPr>
          <w:rFonts w:hint="default" w:ascii="Times New Roman" w:hAnsi="Times New Roman" w:eastAsia="仿宋_GB2312" w:cs="Times New Roman"/>
          <w:b/>
          <w:bCs/>
          <w:sz w:val="32"/>
          <w:szCs w:val="32"/>
        </w:rPr>
        <w:t>提高妇幼健康水平。</w:t>
      </w:r>
      <w:r>
        <w:rPr>
          <w:rFonts w:hint="default" w:ascii="Times New Roman" w:hAnsi="Times New Roman" w:eastAsia="仿宋_GB2312" w:cs="Times New Roman"/>
          <w:sz w:val="32"/>
          <w:szCs w:val="32"/>
        </w:rPr>
        <w:t>提升出生缺陷干预能力，全面开展免费孕前优生健康检查民生工程，提高生殖健康水平，确保外来人口与常住人口同宣传、同管理、同服务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加强婚前保健、孕产期保健和婴儿保健，预防和减少缺陷</w:t>
      </w:r>
      <w:r>
        <w:rPr>
          <w:rFonts w:hint="default" w:ascii="Times New Roman" w:hAnsi="Times New Roman" w:eastAsia="仿宋_GB2312" w:cs="Times New Roman"/>
          <w:sz w:val="32"/>
          <w:szCs w:val="32"/>
          <w:lang w:eastAsia="zh-CN"/>
        </w:rPr>
        <w:t>以及</w:t>
      </w:r>
      <w:r>
        <w:rPr>
          <w:rFonts w:hint="default" w:ascii="Times New Roman" w:hAnsi="Times New Roman" w:eastAsia="仿宋_GB2312" w:cs="Times New Roman"/>
          <w:sz w:val="32"/>
          <w:szCs w:val="32"/>
        </w:rPr>
        <w:t>残疾的发生。全力支持妇联工作，保障妇女儿童合法权益。常规免疫规划疫苗接种率达到95%以上，孕产妇死亡率控制在10万</w:t>
      </w:r>
      <w:r>
        <w:rPr>
          <w:rFonts w:hint="default" w:ascii="Times New Roman" w:hAnsi="Times New Roman" w:eastAsia="仿宋_GB2312" w:cs="Times New Roman"/>
          <w:sz w:val="32"/>
          <w:szCs w:val="32"/>
          <w:lang w:eastAsia="zh-CN"/>
        </w:rPr>
        <w:t>分之</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以下，婴儿和5岁以下儿童死亡率分别控制在6‰和7‰以下，0-6岁儿童眼保健和视力检查覆盖率达90%以上。</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400" w:lineRule="exact"/>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专栏2</w:t>
            </w:r>
            <w:r>
              <w:rPr>
                <w:rFonts w:hint="default" w:ascii="Times New Roman" w:hAnsi="Times New Roman" w:eastAsia="仿宋_GB2312" w:cs="Times New Roman"/>
                <w:b/>
                <w:bCs/>
                <w:sz w:val="21"/>
                <w:szCs w:val="21"/>
                <w:lang w:val="en-US" w:eastAsia="zh-CN"/>
              </w:rPr>
              <w:t>0</w:t>
            </w:r>
            <w:r>
              <w:rPr>
                <w:rFonts w:hint="default" w:ascii="Times New Roman" w:hAnsi="Times New Roman" w:eastAsia="仿宋_GB2312" w:cs="Times New Roman"/>
                <w:b/>
                <w:bCs/>
                <w:sz w:val="21"/>
                <w:szCs w:val="21"/>
              </w:rPr>
              <w:t xml:space="preserve">  医疗服务重点项目</w:t>
            </w:r>
          </w:p>
          <w:p>
            <w:pPr>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蛟河市公共卫生和医疗服务能力提升城乡一体化项目。</w:t>
            </w:r>
            <w:r>
              <w:rPr>
                <w:rFonts w:hint="default" w:ascii="Times New Roman" w:hAnsi="Times New Roman" w:eastAsia="仿宋_GB2312" w:cs="Times New Roman"/>
                <w:sz w:val="21"/>
                <w:szCs w:val="21"/>
              </w:rPr>
              <w:t>新建中心卫生院3家。新建乡镇卫生院7家。新建社区卫生服务中心6家。新建村卫生室219家。购置设备589台。</w:t>
            </w:r>
          </w:p>
          <w:p>
            <w:pPr>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吉林市结核病医院新建住院楼项目。</w:t>
            </w:r>
            <w:r>
              <w:rPr>
                <w:rFonts w:hint="default" w:ascii="Times New Roman" w:hAnsi="Times New Roman" w:eastAsia="仿宋_GB2312" w:cs="Times New Roman"/>
                <w:sz w:val="21"/>
                <w:szCs w:val="21"/>
              </w:rPr>
              <w:t>主要建设负压病房、传染病房等，配套建设附属设施；购置除颤仪、心电监视仪、紫外线消毒车等设备1367台（套）。</w:t>
            </w:r>
          </w:p>
          <w:p>
            <w:pPr>
              <w:spacing w:line="400" w:lineRule="exact"/>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蛟河市人口健康信息化应急项目。</w:t>
            </w:r>
            <w:r>
              <w:rPr>
                <w:rFonts w:hint="default" w:ascii="Times New Roman" w:hAnsi="Times New Roman" w:eastAsia="仿宋_GB2312" w:cs="Times New Roman"/>
                <w:sz w:val="21"/>
                <w:szCs w:val="21"/>
              </w:rPr>
              <w:t>建设蛟河市人口健康信息平台，涉及蛟河市县、乡、村医疗卫生单位三级联动。蛟河市人口健康信息平台共安装配套软件27个，其中涉及平台系统、监管系统、健康档案、一卡通等各项业务。项目建成后将满足全市卫生业务发展的信息化建设要求，综合能力达到国内领先水平。</w:t>
            </w:r>
          </w:p>
        </w:tc>
      </w:tr>
    </w:tbl>
    <w:p>
      <w:pPr>
        <w:widowControl/>
        <w:spacing w:line="240" w:lineRule="auto"/>
        <w:ind w:firstLine="0"/>
        <w:jc w:val="left"/>
      </w:pPr>
      <w:r>
        <w:br w:type="page"/>
      </w:r>
    </w:p>
    <w:p>
      <w:pPr>
        <w:pStyle w:val="4"/>
        <w:pageBreakBefore w:val="0"/>
        <w:widowControl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71" w:name="_Toc54275596"/>
      <w:bookmarkStart w:id="172" w:name="_Toc60232830"/>
      <w:bookmarkStart w:id="173" w:name="_Toc30643"/>
      <w:bookmarkStart w:id="174" w:name="_Toc55314926"/>
      <w:r>
        <w:rPr>
          <w:rFonts w:hint="eastAsia" w:ascii="方正小标宋简体" w:hAnsi="方正小标宋简体" w:eastAsia="方正小标宋简体" w:cs="方正小标宋简体"/>
          <w:b w:val="0"/>
          <w:bCs w:val="0"/>
          <w:sz w:val="32"/>
          <w:szCs w:val="32"/>
        </w:rPr>
        <w:t>推进公共文化服务</w:t>
      </w:r>
      <w:bookmarkEnd w:id="171"/>
      <w:bookmarkEnd w:id="172"/>
      <w:bookmarkEnd w:id="173"/>
      <w:bookmarkEnd w:id="174"/>
    </w:p>
    <w:p>
      <w:pPr>
        <w:pStyle w:val="5"/>
        <w:pageBreakBefore w:val="0"/>
        <w:widowControl w:val="0"/>
        <w:numPr>
          <w:ilvl w:val="0"/>
          <w:numId w:val="22"/>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75" w:name="_Toc25643"/>
      <w:bookmarkStart w:id="176" w:name="_Toc55314927"/>
      <w:r>
        <w:rPr>
          <w:rFonts w:hint="eastAsia" w:ascii="方正小标宋简体" w:hAnsi="方正小标宋简体" w:eastAsia="方正小标宋简体" w:cs="方正小标宋简体"/>
          <w:b w:val="0"/>
          <w:bCs w:val="0"/>
          <w:sz w:val="32"/>
          <w:szCs w:val="32"/>
        </w:rPr>
        <w:t>全面提高文明素质</w:t>
      </w:r>
      <w:bookmarkEnd w:id="175"/>
      <w:bookmarkEnd w:id="176"/>
    </w:p>
    <w:p>
      <w:pPr>
        <w:rPr>
          <w:rFonts w:hint="eastAsia"/>
        </w:rPr>
      </w:pPr>
    </w:p>
    <w:p>
      <w:pPr>
        <w:pStyle w:val="55"/>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深入开展习近平新时代中国特色社会主义思想学习教育，强化爱国主义、集体主义、社会主义教育，推进理想信念教育常态化制度化。</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推进新时代文明实践中心试点工作。</w:t>
      </w:r>
      <w:r>
        <w:rPr>
          <w:rFonts w:hint="default" w:ascii="Times New Roman" w:hAnsi="Times New Roman" w:eastAsia="仿宋_GB2312" w:cs="Times New Roman"/>
          <w:sz w:val="32"/>
          <w:szCs w:val="32"/>
        </w:rPr>
        <w:t>以“6578”工程建设为主线，贯通市乡（镇、街道）村（社区）三级文明实践中心、所、站，分层分类推动完善文明实践阵地建设。加强县级志愿服务促进中心建设。延伸文明实践所、站功能，打造一批文明实践基地，为群众开展文明实践拓展空间。着力加强志愿服务，打造志愿服务项目品牌。搭建志愿服务供需平台，开展“特色宣讲”、“文明实践周”等多样的志愿服务活动，实现供需精准化和常态化。</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深化“文明创建十大行动”。</w:t>
      </w:r>
      <w:r>
        <w:rPr>
          <w:rFonts w:hint="default" w:ascii="Times New Roman" w:hAnsi="Times New Roman" w:eastAsia="仿宋_GB2312" w:cs="Times New Roman"/>
          <w:sz w:val="32"/>
          <w:szCs w:val="32"/>
        </w:rPr>
        <w:t>进一步深化文明城市、文明村镇、文明单位、文明校园、文明家庭、文明餐桌等群众性精神文明创建活动和“三优一满意”文明优质服务竞赛，提升创建水平、完善制度建设，努力取得新突破。加大文明村镇创建力度，评选一批“美丽村屯、干净人家”，创建一批最美村屯、移风易俗先进典型，弘扬共筑美好生活梦想的时代新风。</w:t>
      </w:r>
    </w:p>
    <w:p>
      <w:pPr>
        <w:pStyle w:val="55"/>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加强公民思想道德建设。</w:t>
      </w:r>
      <w:r>
        <w:rPr>
          <w:rFonts w:hint="default" w:ascii="Times New Roman" w:hAnsi="Times New Roman" w:eastAsia="仿宋_GB2312" w:cs="Times New Roman"/>
          <w:sz w:val="32"/>
          <w:szCs w:val="32"/>
        </w:rPr>
        <w:t>强化典型引领和社会宣传，开展道德模范、“蛟河之星暨最美蛟河人”、“好婆婆”、“好媳妇”、“好邻居”等评选活动，发挥道德典型的引领示范作用。推进诚信建设宣传教育，联合治理诚信缺失，提高公众诚信意识。抓好未成年人思想道德建设，深入推进青少年“明德知礼工程”，大力弘扬中华优秀传统文化。加强关心下一代工作，发挥“五老”作用，引导青少年系好人生“第一粒扣子”。</w:t>
      </w:r>
    </w:p>
    <w:p>
      <w:pPr>
        <w:pStyle w:val="55"/>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p>
      <w:pPr>
        <w:pStyle w:val="5"/>
        <w:pageBreakBefore w:val="0"/>
        <w:widowControl w:val="0"/>
        <w:numPr>
          <w:ilvl w:val="0"/>
          <w:numId w:val="22"/>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77" w:name="_Toc55314928"/>
      <w:bookmarkStart w:id="178" w:name="_Toc11626"/>
      <w:r>
        <w:rPr>
          <w:rFonts w:hint="eastAsia" w:ascii="方正小标宋简体" w:hAnsi="方正小标宋简体" w:eastAsia="方正小标宋简体" w:cs="方正小标宋简体"/>
          <w:b w:val="0"/>
          <w:bCs w:val="0"/>
          <w:sz w:val="32"/>
          <w:szCs w:val="32"/>
        </w:rPr>
        <w:t>大力弘扬传承优秀传统文化</w:t>
      </w:r>
      <w:bookmarkEnd w:id="177"/>
      <w:bookmarkEnd w:id="178"/>
    </w:p>
    <w:p>
      <w:pPr>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深入挖掘蛟河地域文化。</w:t>
      </w:r>
      <w:r>
        <w:rPr>
          <w:rFonts w:hint="default" w:ascii="Times New Roman" w:hAnsi="Times New Roman" w:eastAsia="仿宋_GB2312" w:cs="Times New Roman"/>
          <w:sz w:val="32"/>
          <w:szCs w:val="32"/>
        </w:rPr>
        <w:t>充分挖掘满族文化、朝鲜族文化、红色旅游文化等特有的优秀传统文化，充分发挥其凝聚人心、教化群众、淳化民风的作用。整理、保护和传承蛟河地域优秀传统文化，进一步打造冰雪文化、渔猎文化、木邦文化、萨满文化、松花湖浪木根艺文化、乡土文学等具有“蛟河符号”的传统文化，建设富江最美传统村落和巴拉文化园、六家子梦里雪乡、西荒地渔猎文化部落等一批文旅项目。</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塑造乡村良好文化生态。</w:t>
      </w:r>
      <w:r>
        <w:rPr>
          <w:rFonts w:hint="default" w:ascii="Times New Roman" w:hAnsi="Times New Roman" w:eastAsia="仿宋_GB2312" w:cs="Times New Roman"/>
          <w:sz w:val="32"/>
          <w:szCs w:val="32"/>
        </w:rPr>
        <w:t>加强中华优秀传统文化普及推广，深入开展传统节日（春节、元宵、清明、端午、中秋、重阳等）主题文化活动。培育和扶持一批传统文化骨干，开发乡村历史文化、民俗文化、生态文化等多种元素，充分利用乡土文化资源，形成良性乡村文化生态。及时发现具有一定保护价值、能反映历史风貌和地方特色的传统民居、文物古迹、民族村落、农业遗产、灌溉工程遗产，推动农耕文化遗产合理适度利用。</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rPr>
        <w:t>繁荣文学艺术创作生产。</w:t>
      </w:r>
      <w:r>
        <w:rPr>
          <w:rFonts w:hint="default" w:ascii="Times New Roman" w:hAnsi="Times New Roman" w:eastAsia="仿宋_GB2312" w:cs="Times New Roman"/>
          <w:sz w:val="32"/>
          <w:szCs w:val="32"/>
        </w:rPr>
        <w:t>开展“深入生活·扎根人民”主题实践活动。推动创作具有蛟河特色和乡土气息的书画、摄影、戏曲、曲艺、文学等文化作品，每年创作1-2部体现时代风尚和地</w:t>
      </w:r>
      <w:r>
        <w:rPr>
          <w:rFonts w:hint="default" w:ascii="Times New Roman" w:hAnsi="Times New Roman" w:eastAsia="仿宋_GB2312" w:cs="Times New Roman"/>
          <w:sz w:val="32"/>
          <w:szCs w:val="32"/>
          <w:lang w:eastAsia="zh-CN"/>
        </w:rPr>
        <w:t>域</w:t>
      </w:r>
      <w:r>
        <w:rPr>
          <w:rFonts w:hint="default" w:ascii="Times New Roman" w:hAnsi="Times New Roman" w:eastAsia="仿宋_GB2312" w:cs="Times New Roman"/>
          <w:sz w:val="32"/>
          <w:szCs w:val="32"/>
        </w:rPr>
        <w:t>特点的</w:t>
      </w:r>
      <w:r>
        <w:rPr>
          <w:rFonts w:hint="default" w:ascii="Times New Roman" w:hAnsi="Times New Roman" w:eastAsia="仿宋_GB2312" w:cs="Times New Roman"/>
          <w:sz w:val="32"/>
          <w:szCs w:val="32"/>
          <w:lang w:eastAsia="zh-CN"/>
        </w:rPr>
        <w:t>优秀</w:t>
      </w:r>
      <w:r>
        <w:rPr>
          <w:rFonts w:hint="default" w:ascii="Times New Roman" w:hAnsi="Times New Roman" w:eastAsia="仿宋_GB2312" w:cs="Times New Roman"/>
          <w:sz w:val="32"/>
          <w:szCs w:val="32"/>
        </w:rPr>
        <w:t>戏曲剧目。推出3-5部讲好中国故事、表现人民大众、反映时代风貌的优秀文学作品。开展“走基层·送文化”等活动，每年送演出下基层80场。</w:t>
      </w:r>
      <w:r>
        <w:rPr>
          <w:rFonts w:hint="default" w:ascii="Times New Roman" w:hAnsi="Times New Roman" w:eastAsia="仿宋_GB2312" w:cs="Times New Roman"/>
          <w:sz w:val="32"/>
          <w:szCs w:val="32"/>
          <w:shd w:val="clear" w:color="auto" w:fill="FFFFFF"/>
        </w:rPr>
        <w:t>每年推出1部具有蛟河文化特色、在省、市产生一定影响力的原创精品力作。加强对音乐、舞蹈、美术、书法、曲艺、民间文艺、二人转</w:t>
      </w:r>
      <w:r>
        <w:rPr>
          <w:rFonts w:hint="default" w:ascii="Times New Roman" w:hAnsi="Times New Roman" w:eastAsia="仿宋_GB2312" w:cs="Times New Roman"/>
          <w:sz w:val="32"/>
          <w:szCs w:val="32"/>
          <w:shd w:val="clear" w:color="auto" w:fill="FFFFFF"/>
          <w:lang w:eastAsia="zh-CN"/>
        </w:rPr>
        <w:t>等</w:t>
      </w:r>
      <w:r>
        <w:rPr>
          <w:rFonts w:hint="default" w:ascii="Times New Roman" w:hAnsi="Times New Roman" w:eastAsia="仿宋_GB2312" w:cs="Times New Roman"/>
          <w:sz w:val="32"/>
          <w:szCs w:val="32"/>
          <w:shd w:val="clear" w:color="auto" w:fill="FFFFFF"/>
        </w:rPr>
        <w:t>的扶持，促进各艺术门类全面发展。</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79" w:name="_Toc23847"/>
      <w:bookmarkStart w:id="180" w:name="_Toc55314929"/>
      <w:r>
        <w:rPr>
          <w:rFonts w:hint="eastAsia" w:ascii="方正小标宋简体" w:hAnsi="方正小标宋简体" w:eastAsia="方正小标宋简体" w:cs="方正小标宋简体"/>
          <w:b w:val="0"/>
          <w:bCs w:val="0"/>
          <w:sz w:val="32"/>
          <w:szCs w:val="32"/>
        </w:rPr>
        <w:t>深入推进公共文化基础建设</w:t>
      </w:r>
      <w:bookmarkEnd w:id="179"/>
      <w:bookmarkEnd w:id="180"/>
    </w:p>
    <w:p>
      <w:pPr>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在城市建设蛟河文化体育产业园区。</w:t>
      </w:r>
      <w:r>
        <w:rPr>
          <w:rFonts w:hint="default" w:ascii="Times New Roman" w:hAnsi="Times New Roman" w:eastAsia="仿宋_GB2312" w:cs="Times New Roman"/>
          <w:sz w:val="32"/>
          <w:szCs w:val="32"/>
        </w:rPr>
        <w:t>建设文化产业园区，新建蛟河市公共文化馆、图书馆、博物馆、美术馆。建设体育产业园区，新建蛟河市全民健身中心体育馆、体育场。建设蛟龙、滨河、南河等6处城市体育公园、社会足球场、慢行步道。</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在乡镇建设蛟河乡村文化艺术中心。</w:t>
      </w:r>
      <w:r>
        <w:rPr>
          <w:rFonts w:hint="default" w:ascii="Times New Roman" w:hAnsi="Times New Roman" w:eastAsia="仿宋_GB2312" w:cs="Times New Roman"/>
          <w:sz w:val="32"/>
          <w:szCs w:val="32"/>
        </w:rPr>
        <w:t>依托乡镇文化站，按照国家文化和旅游部乡镇文化站综合整治要求，加强维修改造，建成全市17个乡镇街文化艺术中心。每个农村乡镇街所在地建设完善1处5000㎡以上的体育公园、多功能运动场。建设国道302线、环松花湖沿线、榆江线文化旅游示范带。</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在村屯建设蛟河乡村特色文旅小镇。</w:t>
      </w:r>
      <w:r>
        <w:rPr>
          <w:rFonts w:hint="default" w:ascii="Times New Roman" w:hAnsi="Times New Roman" w:eastAsia="仿宋_GB2312" w:cs="Times New Roman"/>
          <w:sz w:val="32"/>
          <w:szCs w:val="32"/>
        </w:rPr>
        <w:t>依托行政村基层综合性文化服务中心，挖掘地域特色文化旅游资源，建设一批乡村文化礼堂、农民作家村、摄影基地、影视基地、美术基地、传统村落等乡村文旅小镇；建设一批红色文化、农耕文化、木帮文化、渔猎文化、巴拉文化、冰雪文化、饮食文化等乡村文旅驿站；建设一批“吉林印记”工程博物馆，使蛟河乡村博物馆达到20处以上。</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81" w:name="_Toc17713"/>
      <w:bookmarkStart w:id="182" w:name="_Toc55314930"/>
      <w:r>
        <w:rPr>
          <w:rFonts w:hint="eastAsia" w:ascii="方正小标宋简体" w:hAnsi="方正小标宋简体" w:eastAsia="方正小标宋简体" w:cs="方正小标宋简体"/>
          <w:b w:val="0"/>
          <w:bCs w:val="0"/>
          <w:sz w:val="32"/>
          <w:szCs w:val="32"/>
        </w:rPr>
        <w:t>组织开展群众文化体育活动</w:t>
      </w:r>
      <w:bookmarkEnd w:id="181"/>
      <w:bookmarkEnd w:id="182"/>
    </w:p>
    <w:p>
      <w:pPr>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组织开展“小康路上·与梦同行”春季“三节”群众文化活动。</w:t>
      </w:r>
      <w:r>
        <w:rPr>
          <w:rFonts w:hint="default" w:ascii="Times New Roman" w:hAnsi="Times New Roman" w:eastAsia="仿宋_GB2312" w:cs="Times New Roman"/>
          <w:sz w:val="32"/>
          <w:szCs w:val="32"/>
          <w:shd w:val="clear" w:color="auto" w:fill="FFFFFF"/>
        </w:rPr>
        <w:t>每年组织动员文艺馆团、文艺协会，以“红色文艺轻骑兵——走基层·送文化”活动为载体，开展书画、摄影、图书、电影、春联、年画、文艺等“七送”活动。举办展览、培训、演出等活动，开展“文化、科技、卫生”三下乡活动，大力营造</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文化下乡去</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春风扑面来</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的浓厚社会文化氛围，丰富“三节”期间城乡广大群众的精神文化生活。</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组织开展“踏歌起舞·欢乐蛟河”夏季城乡广场群众文化活动。</w:t>
      </w:r>
      <w:r>
        <w:rPr>
          <w:rFonts w:hint="default" w:ascii="Times New Roman" w:hAnsi="Times New Roman" w:eastAsia="仿宋_GB2312" w:cs="Times New Roman"/>
          <w:sz w:val="32"/>
          <w:szCs w:val="32"/>
          <w:shd w:val="clear" w:color="auto" w:fill="FFFFFF"/>
        </w:rPr>
        <w:t>充分利用城乡文化广场、农村文化大院，每年组织开展“市民文化节”、“农民文化节”</w:t>
      </w:r>
      <w:r>
        <w:rPr>
          <w:rFonts w:hint="default" w:ascii="Times New Roman" w:hAnsi="Times New Roman" w:eastAsia="仿宋_GB2312" w:cs="Times New Roman"/>
          <w:sz w:val="32"/>
          <w:szCs w:val="32"/>
          <w:shd w:val="clear" w:color="auto" w:fill="FFFFFF"/>
          <w:lang w:eastAsia="zh-CN"/>
        </w:rPr>
        <w:t>等</w:t>
      </w:r>
      <w:r>
        <w:rPr>
          <w:rFonts w:hint="default" w:ascii="Times New Roman" w:hAnsi="Times New Roman" w:eastAsia="仿宋_GB2312" w:cs="Times New Roman"/>
          <w:sz w:val="32"/>
          <w:szCs w:val="32"/>
          <w:shd w:val="clear" w:color="auto" w:fill="FFFFFF"/>
        </w:rPr>
        <w:t>群众文化演出活动。开展“百姓大舞台”、“乡村大擂台”、“欢乐庄稼院”、“社区文化活动月”活动。开展“庆丰收·迎小康”农民丰收节群众文化活动。</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组织开展“浪漫红叶·多彩蛟河”秋季红叶节群众文化活动。</w:t>
      </w:r>
      <w:r>
        <w:rPr>
          <w:rFonts w:hint="default" w:ascii="Times New Roman" w:hAnsi="Times New Roman" w:eastAsia="仿宋_GB2312" w:cs="Times New Roman"/>
          <w:sz w:val="32"/>
          <w:szCs w:val="32"/>
          <w:shd w:val="clear" w:color="auto" w:fill="FFFFFF"/>
        </w:rPr>
        <w:t>创新举办红叶旅游节群众文化活动，开展好红叶节大型文艺演出、体育赛事、展览展出等活动。持续举办富江村“传统村落河灯文化旅游节”、窝集口“金秋采摘节”等群众性文化旅游活动。</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组织开展“玩冰踏雪·精彩冬日”冬季嘉年华群众文体活动。</w:t>
      </w:r>
      <w:r>
        <w:rPr>
          <w:rFonts w:hint="default" w:ascii="Times New Roman" w:hAnsi="Times New Roman" w:eastAsia="仿宋_GB2312" w:cs="Times New Roman"/>
          <w:sz w:val="32"/>
          <w:szCs w:val="32"/>
          <w:shd w:val="clear" w:color="auto" w:fill="FFFFFF"/>
        </w:rPr>
        <w:t>每年围绕富江村等一批特色美丽乡村，开发满族冰嬉非遗文化项目，组织萨满冰雪文化风情表演，开展巴拉文化节、渔猎文化节等具有蛟河符号的冰雪群众文化体育旅游活动，打造蛟河冬季文旅驿站。组织开展“乡村冰雪文化大集”、“乡村冰雪体育大集”</w:t>
      </w:r>
      <w:r>
        <w:rPr>
          <w:rFonts w:hint="default" w:ascii="Times New Roman" w:hAnsi="Times New Roman" w:eastAsia="仿宋_GB2312" w:cs="Times New Roman"/>
          <w:sz w:val="32"/>
          <w:szCs w:val="32"/>
          <w:shd w:val="clear" w:color="auto" w:fill="FFFFFF"/>
          <w:lang w:eastAsia="zh-CN"/>
        </w:rPr>
        <w:t>等群众性的冰雪</w:t>
      </w:r>
      <w:r>
        <w:rPr>
          <w:rFonts w:hint="default" w:ascii="Times New Roman" w:hAnsi="Times New Roman" w:eastAsia="仿宋_GB2312" w:cs="Times New Roman"/>
          <w:sz w:val="32"/>
          <w:szCs w:val="32"/>
          <w:shd w:val="clear" w:color="auto" w:fill="FFFFFF"/>
        </w:rPr>
        <w:t>体育赛事活动。</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组织开展“全民健身·悦动蛟河”全民健身系列活动。</w:t>
      </w:r>
      <w:r>
        <w:rPr>
          <w:rFonts w:hint="default" w:ascii="Times New Roman" w:hAnsi="Times New Roman" w:eastAsia="仿宋_GB2312" w:cs="Times New Roman"/>
          <w:sz w:val="32"/>
          <w:szCs w:val="32"/>
          <w:shd w:val="clear" w:color="auto" w:fill="FFFFFF"/>
        </w:rPr>
        <w:t>每年组织开展全民健身日、全民健身月、全民健身百日行系列活动。办好每两年一届的全民运动会。</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83" w:name="_Toc55314931"/>
      <w:bookmarkStart w:id="184" w:name="_Toc6722"/>
      <w:r>
        <w:rPr>
          <w:rFonts w:hint="eastAsia" w:ascii="方正小标宋简体" w:hAnsi="方正小标宋简体" w:eastAsia="方正小标宋简体" w:cs="方正小标宋简体"/>
          <w:b w:val="0"/>
          <w:bCs w:val="0"/>
          <w:sz w:val="32"/>
          <w:szCs w:val="32"/>
        </w:rPr>
        <w:t>切实加强文化遗产保护利用</w:t>
      </w:r>
      <w:bookmarkEnd w:id="183"/>
      <w:bookmarkEnd w:id="184"/>
    </w:p>
    <w:p>
      <w:pPr>
        <w:rPr>
          <w:rFonts w:hint="default"/>
        </w:rPr>
      </w:pP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加强不可移动文物保护。</w:t>
      </w:r>
      <w:r>
        <w:rPr>
          <w:rFonts w:hint="default" w:ascii="Times New Roman" w:hAnsi="Times New Roman" w:eastAsia="仿宋_GB2312" w:cs="Times New Roman"/>
          <w:sz w:val="32"/>
          <w:szCs w:val="32"/>
          <w:shd w:val="clear" w:color="auto" w:fill="FFFFFF"/>
        </w:rPr>
        <w:t>推动文物保护从抢救性保护为主向抢救性保护与预防性保护并重转变，努力实现由注重文物本体保护向注重文物本体与周边环境、文化生态的整体保护转变，基本形成以前进古城、新站谈判旧址等大遗址保护为核心，苏尔哈古墓群、拉法—新站文化街区红色建筑群、金斗宫清代遗址资源保护为重点，东北抗联遗迹和新站葡萄酒厂、三线兵工厂工业遗产为特色的蛟河市文物保护利用总体格局。夯实全市331处文物遗址保护基础工作。积极申报省级重点文物保护单位，公布一批市级文物保护单位名录。落实市县级文物保护单位“四有工作”。</w:t>
      </w:r>
      <w:r>
        <w:rPr>
          <w:rFonts w:hint="default" w:ascii="Times New Roman" w:hAnsi="Times New Roman" w:eastAsia="仿宋_GB2312" w:cs="Times New Roman"/>
          <w:sz w:val="32"/>
          <w:szCs w:val="32"/>
        </w:rPr>
        <w:t>启动前进古城国家遗址公园、新站谈判旧址保护、新站镇历史文化街区等一批公共文化项目。</w:t>
      </w:r>
    </w:p>
    <w:p>
      <w:pPr>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shd w:val="clear" w:color="auto" w:fill="FFFFFF"/>
        </w:rPr>
      </w:pPr>
      <w:r>
        <w:rPr>
          <w:rFonts w:hint="default" w:ascii="Times New Roman" w:hAnsi="Times New Roman" w:eastAsia="仿宋_GB2312" w:cs="Times New Roman"/>
          <w:b/>
          <w:bCs/>
          <w:sz w:val="32"/>
          <w:szCs w:val="32"/>
          <w:shd w:val="clear" w:color="auto" w:fill="FFFFFF"/>
        </w:rPr>
        <w:t>加强全市非物质文化遗产项目保护。</w:t>
      </w:r>
      <w:r>
        <w:rPr>
          <w:rFonts w:hint="default" w:ascii="Times New Roman" w:hAnsi="Times New Roman" w:eastAsia="仿宋_GB2312" w:cs="Times New Roman"/>
          <w:sz w:val="32"/>
          <w:szCs w:val="32"/>
          <w:shd w:val="clear" w:color="auto" w:fill="FFFFFF"/>
        </w:rPr>
        <w:t>健全非物质文化遗产代表性项目名录体系，组织制定代表性项目保护规划。“十四五”期间完成50项市本级非遗项目和代表性传承人申报、考查、评选工作，使蛟河非遗保护项目达到100项以上。开展具有蛟河特色符号的非物质文化遗产项目保护。</w:t>
      </w:r>
    </w:p>
    <w:p>
      <w:pPr>
        <w:rPr>
          <w:rFonts w:hint="eastAsia"/>
          <w:shd w:val="clear" w:color="auto" w:fill="FFFFFF"/>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spacing w:line="240" w:lineRule="auto"/>
              <w:ind w:firstLine="0"/>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专栏2</w:t>
            </w:r>
            <w:r>
              <w:rPr>
                <w:rFonts w:hint="default" w:ascii="Times New Roman" w:hAnsi="Times New Roman" w:eastAsia="仿宋_GB2312" w:cs="Times New Roman"/>
                <w:b/>
                <w:bCs/>
                <w:sz w:val="21"/>
                <w:szCs w:val="21"/>
                <w:lang w:val="en-US" w:eastAsia="zh-CN"/>
              </w:rPr>
              <w:t>1</w:t>
            </w:r>
            <w:r>
              <w:rPr>
                <w:rFonts w:hint="default" w:ascii="Times New Roman" w:hAnsi="Times New Roman" w:eastAsia="仿宋_GB2312" w:cs="Times New Roman"/>
                <w:b/>
                <w:bCs/>
                <w:sz w:val="21"/>
                <w:szCs w:val="21"/>
              </w:rPr>
              <w:t xml:space="preserve"> 文化事业重点项目</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蛟河市文化馆建设。</w:t>
            </w:r>
            <w:r>
              <w:rPr>
                <w:rFonts w:hint="default" w:ascii="Times New Roman" w:hAnsi="Times New Roman" w:eastAsia="仿宋_GB2312" w:cs="Times New Roman"/>
                <w:sz w:val="21"/>
                <w:szCs w:val="21"/>
              </w:rPr>
              <w:t>建设综合公共服务区、展厅、数字文化体验馆、多功能厅、保安（消控室）、非遗展厅、美术、书法教室、非遗传习所、文化体验区、综合区、报告厅、画室名家工作室、办公区等。</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蛟河市图书馆建设。</w:t>
            </w:r>
            <w:r>
              <w:rPr>
                <w:rFonts w:hint="default" w:ascii="Times New Roman" w:hAnsi="Times New Roman" w:eastAsia="仿宋_GB2312" w:cs="Times New Roman"/>
                <w:b w:val="0"/>
                <w:bCs w:val="0"/>
                <w:sz w:val="21"/>
                <w:szCs w:val="21"/>
                <w:lang w:eastAsia="zh-CN"/>
              </w:rPr>
              <w:t>建设</w:t>
            </w:r>
            <w:r>
              <w:rPr>
                <w:rFonts w:hint="default" w:ascii="Times New Roman" w:hAnsi="Times New Roman" w:eastAsia="仿宋_GB2312" w:cs="Times New Roman"/>
                <w:b w:val="0"/>
                <w:bCs w:val="0"/>
                <w:sz w:val="21"/>
                <w:szCs w:val="21"/>
              </w:rPr>
              <w:t>少</w:t>
            </w:r>
            <w:r>
              <w:rPr>
                <w:rFonts w:hint="default" w:ascii="Times New Roman" w:hAnsi="Times New Roman" w:eastAsia="仿宋_GB2312" w:cs="Times New Roman"/>
                <w:sz w:val="21"/>
                <w:szCs w:val="21"/>
              </w:rPr>
              <w:t>儿文献库及阅览区、电子阅览室、消防控制室、采编室、特殊读者书库及阅览区、多功能报告厅、普通文献书库及阅览区、期刊刊库及阅览区、政务公开查询、书画苑、国学苑、古籍书库、地方文献库、典藏书库等功能性用房。</w:t>
            </w:r>
          </w:p>
          <w:p>
            <w:pPr>
              <w:spacing w:line="240" w:lineRule="auto"/>
              <w:ind w:firstLine="422" w:firstLineChars="20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蛟河市博物馆建设。</w:t>
            </w:r>
            <w:r>
              <w:rPr>
                <w:rFonts w:hint="default" w:ascii="Times New Roman" w:hAnsi="Times New Roman" w:eastAsia="仿宋_GB2312" w:cs="Times New Roman"/>
                <w:sz w:val="21"/>
                <w:szCs w:val="21"/>
              </w:rPr>
              <w:t>包括专题陈列展厅、教育活动室、监控室、临展区、历史陈列展厅、专题陈列展厅、多功能厅、文物库房、文物修复室等功能用房。</w:t>
            </w:r>
          </w:p>
          <w:p>
            <w:pPr>
              <w:spacing w:line="240" w:lineRule="auto"/>
              <w:ind w:firstLine="422" w:firstLineChars="200"/>
              <w:jc w:val="left"/>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蛟河市小型体育公园建设。</w:t>
            </w:r>
            <w:r>
              <w:rPr>
                <w:rFonts w:hint="default" w:ascii="Times New Roman" w:hAnsi="Times New Roman" w:eastAsia="仿宋_GB2312" w:cs="Times New Roman"/>
                <w:b w:val="0"/>
                <w:bCs w:val="0"/>
                <w:sz w:val="21"/>
                <w:szCs w:val="21"/>
                <w:lang w:eastAsia="zh-CN"/>
              </w:rPr>
              <w:t>建设</w:t>
            </w:r>
            <w:r>
              <w:rPr>
                <w:rFonts w:hint="default" w:ascii="Times New Roman" w:hAnsi="Times New Roman" w:eastAsia="仿宋_GB2312" w:cs="Times New Roman"/>
                <w:sz w:val="21"/>
                <w:szCs w:val="21"/>
              </w:rPr>
              <w:t>笼式篮球场、笼式排球场等健身设施；健身步道、综合健身器材区、科学健身指导区、健身雕塑群等；11块5人制足球场；滨河体育公园网球场（羽毛球场）、轮滑场等健身设施和健身步道。</w:t>
            </w:r>
          </w:p>
        </w:tc>
      </w:tr>
    </w:tbl>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420" w:leftChars="0"/>
        <w:textAlignment w:val="auto"/>
        <w:rPr>
          <w:rFonts w:hint="eastAsia" w:ascii="Times New Roman" w:hAnsi="Times New Roman" w:eastAsia="仿宋_GB2312" w:cs="Times New Roman"/>
          <w:sz w:val="32"/>
          <w:szCs w:val="32"/>
          <w:lang w:eastAsia="zh-CN"/>
        </w:rPr>
      </w:pPr>
      <w:bookmarkStart w:id="185" w:name="_Toc23217"/>
      <w:bookmarkStart w:id="186" w:name="_Toc55314932"/>
    </w:p>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840" w:leftChars="0"/>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eastAsia="zh-CN"/>
        </w:rPr>
        <w:t>第六节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加快推进媒体融合发展</w:t>
      </w:r>
      <w:bookmarkEnd w:id="185"/>
      <w:bookmarkEnd w:id="186"/>
    </w:p>
    <w:p>
      <w:pPr>
        <w:numPr>
          <w:ilvl w:val="0"/>
          <w:numId w:val="0"/>
        </w:numPr>
        <w:ind w:left="-840" w:leftChars="0"/>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推进融媒体中心体制机制改革。</w:t>
      </w:r>
      <w:r>
        <w:rPr>
          <w:rFonts w:hint="default" w:ascii="Times New Roman" w:hAnsi="Times New Roman" w:eastAsia="仿宋_GB2312" w:cs="Times New Roman"/>
          <w:sz w:val="32"/>
          <w:szCs w:val="32"/>
        </w:rPr>
        <w:t>充分挖掘内部潜力，盘活既有资源，适应传播格局变化，加快主力军向主阵地挺进，推动媒体深度融合，全力建设新型主流媒体。</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加强全媒体中央厨房建设。</w:t>
      </w:r>
      <w:r>
        <w:rPr>
          <w:rFonts w:hint="default" w:ascii="Times New Roman" w:hAnsi="Times New Roman" w:eastAsia="仿宋_GB2312" w:cs="Times New Roman"/>
          <w:sz w:val="32"/>
          <w:szCs w:val="32"/>
        </w:rPr>
        <w:t>科学设置融媒体中心的岗位编制和采编播流程，高标准打造蛟河市全媒体中央厨房，通过中央厨房建设，统筹采访、编辑和技术力量，实现“一次采集、多种生成、多媒体传播”的工作格局。充分发挥中央厨房集中指挥、高效协调、采编调度、信息沟通的功能。</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打造坚实的舆论宣传阵地。</w:t>
      </w:r>
      <w:r>
        <w:rPr>
          <w:rFonts w:hint="default" w:ascii="Times New Roman" w:hAnsi="Times New Roman" w:eastAsia="仿宋_GB2312" w:cs="Times New Roman"/>
          <w:sz w:val="32"/>
          <w:szCs w:val="32"/>
        </w:rPr>
        <w:t>围绕服务基层的目标宗旨，找准定位、发挥优势，建立起全方位、多层次的主流舆论宣传阵地，增强引导群众、服务群众的针对性和时效性。发挥舆情的预警器、稳压器、减压器作用，通过管理和利用本地平台，吸引本地网民留言交流，在本地反应问题，表达诉求。改变单向信息发布的做法，增强互动性，更好地倾听群众声音，在市委、市政府和人民群众之间架设沟通的桥梁。</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不断完善融媒体中心APP客户端。</w:t>
      </w:r>
      <w:r>
        <w:rPr>
          <w:rFonts w:hint="default" w:ascii="Times New Roman" w:hAnsi="Times New Roman" w:eastAsia="仿宋_GB2312" w:cs="Times New Roman"/>
          <w:sz w:val="32"/>
          <w:szCs w:val="32"/>
        </w:rPr>
        <w:t>以“两微一端”为重点，建设涵盖“蛟河发布”、广播电视、手机台等多个媒体终端，形成分众传播、分类覆盖的格局，实现传播效果最大化。</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深度融入全省融媒体集群。</w:t>
      </w:r>
      <w:r>
        <w:rPr>
          <w:rFonts w:hint="default" w:ascii="Times New Roman" w:hAnsi="Times New Roman" w:eastAsia="仿宋_GB2312" w:cs="Times New Roman"/>
          <w:sz w:val="32"/>
          <w:szCs w:val="32"/>
        </w:rPr>
        <w:t>依托优势资源，通过传播形式上的“你中有我、我中有你”，实现新闻宣传和舆论引导上下贯通、左右联通、纵向到底、横向到边。通过省级平台对重要新闻的直接投送功能，实现全省新闻与舆论引导的统一指挥、集合发力，保证互联互通效果。</w:t>
      </w:r>
    </w:p>
    <w:p>
      <w:pPr>
        <w:pageBreakBefore w:val="0"/>
        <w:widowControl/>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br w:type="page"/>
      </w:r>
    </w:p>
    <w:p>
      <w:pPr>
        <w:pStyle w:val="4"/>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87" w:name="_Toc60232831"/>
      <w:bookmarkStart w:id="188" w:name="_Toc25844"/>
      <w:bookmarkStart w:id="189" w:name="_Toc55314933"/>
      <w:bookmarkStart w:id="190" w:name="_Toc54275597"/>
      <w:r>
        <w:rPr>
          <w:rFonts w:hint="eastAsia" w:ascii="方正小标宋简体" w:hAnsi="方正小标宋简体" w:eastAsia="方正小标宋简体" w:cs="方正小标宋简体"/>
          <w:b w:val="0"/>
          <w:bCs w:val="0"/>
          <w:sz w:val="32"/>
          <w:szCs w:val="32"/>
        </w:rPr>
        <w:t>补齐社会事业短板</w:t>
      </w:r>
      <w:bookmarkEnd w:id="187"/>
      <w:bookmarkEnd w:id="188"/>
      <w:bookmarkEnd w:id="189"/>
      <w:bookmarkEnd w:id="190"/>
    </w:p>
    <w:p>
      <w:pPr>
        <w:pStyle w:val="5"/>
        <w:pageBreakBefore w:val="0"/>
        <w:numPr>
          <w:ilvl w:val="0"/>
          <w:numId w:val="23"/>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91" w:name="_Toc1064"/>
      <w:bookmarkStart w:id="192" w:name="_Toc55314934"/>
      <w:r>
        <w:rPr>
          <w:rFonts w:hint="eastAsia" w:ascii="方正小标宋简体" w:hAnsi="方正小标宋简体" w:eastAsia="方正小标宋简体" w:cs="方正小标宋简体"/>
          <w:b w:val="0"/>
          <w:bCs w:val="0"/>
          <w:sz w:val="32"/>
          <w:szCs w:val="32"/>
        </w:rPr>
        <w:t>提高城乡居民收入</w:t>
      </w:r>
      <w:bookmarkEnd w:id="191"/>
    </w:p>
    <w:p>
      <w:pPr>
        <w:rPr>
          <w:rFonts w:hint="eastAsia"/>
        </w:rPr>
      </w:pP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促进城乡居民增收。</w:t>
      </w:r>
      <w:r>
        <w:rPr>
          <w:rFonts w:hint="default" w:ascii="Times New Roman" w:hAnsi="Times New Roman" w:eastAsia="仿宋_GB2312" w:cs="Times New Roman"/>
          <w:sz w:val="32"/>
          <w:szCs w:val="32"/>
        </w:rPr>
        <w:t>优化收入结构，全面落实居民增收三年行动计划，大幅度提高低收入群体收入水平，减少低收入群体，扩大中等收入群体。探索通过土地、资本等要素增加中低收入群体要素收入，多渠道增加城乡居民财产收入。落实好各项惠农补贴和农业保险政策，积极探索特色产业种植补贴，针对贫困人口的帮扶和补助政策，确保政策落实到位，稳住转移性收入增长势头。大力发展食用菌、甜粘玉米、晒烟、畜牧养殖等特色产业，打破“一粮独大”对农民增收的天花板限制，拓展经营性收入增长空间。</w:t>
      </w:r>
    </w:p>
    <w:p>
      <w:pPr>
        <w:pStyle w:val="55"/>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193" w:name="_Toc19072"/>
      <w:r>
        <w:rPr>
          <w:rFonts w:hint="eastAsia" w:ascii="方正小标宋简体" w:hAnsi="方正小标宋简体" w:eastAsia="方正小标宋简体" w:cs="方正小标宋简体"/>
          <w:b w:val="0"/>
          <w:bCs w:val="0"/>
          <w:sz w:val="32"/>
          <w:szCs w:val="32"/>
        </w:rPr>
        <w:t>实施就业创业扶持工程</w:t>
      </w:r>
      <w:bookmarkEnd w:id="192"/>
      <w:bookmarkEnd w:id="193"/>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sz w:val="32"/>
          <w:szCs w:val="32"/>
        </w:rPr>
        <w:t>搭建平台提供创业保障。</w:t>
      </w:r>
      <w:r>
        <w:rPr>
          <w:rFonts w:hint="default" w:ascii="Times New Roman" w:hAnsi="Times New Roman" w:eastAsia="仿宋_GB2312" w:cs="Times New Roman"/>
          <w:sz w:val="32"/>
          <w:szCs w:val="32"/>
          <w:lang w:val="zh-CN"/>
        </w:rPr>
        <w:t>坚持放宽市场准入，推动市场主体生成，继续规范省级创业孵化基地建设，注重培育打造其他创新创业场所。保障人才智力支撑，实行宽松的人才政策，支持人才自由流动和兼职兼业；引导构建激励导向的人才引进、管理机制。落实乡镇街区属地责任，配备联络员，适时组织“双创”培训，给创业者提供政策咨询、市场信息、技术支撑等服务；从产业突破入手，支持打造特色小镇，努力推动产业集群发展，鼓励乡镇小微企业向开发区集聚。</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深入实施就业优先战略。</w:t>
      </w:r>
      <w:r>
        <w:rPr>
          <w:rStyle w:val="56"/>
          <w:rFonts w:hint="default" w:ascii="Times New Roman" w:hAnsi="Times New Roman" w:eastAsia="仿宋_GB2312" w:cs="Times New Roman"/>
          <w:sz w:val="32"/>
          <w:szCs w:val="32"/>
        </w:rPr>
        <w:t>强化就业优先政策，加强创业培训项目开发、创业担保贷款、后续扶持等服务，争创省级“双创”示范基地和实训基地。依托我市规模企业和主导产业，打造5个返乡创业及域外劳动力转移就业基地，实现城镇新增就业2.4万人以上，城镇登记失业率控制在4.3%以内。健全重点群体就业支持体系，加强城镇各类就业困难人员就业培训、托底安置就业和帮扶，突出做好高校毕业生、农民工、退役军人、残疾人和城镇困难人员等重点群体就业工作，确保零就业家庭动态清零。健全就业公共服务机制，落实企业稳岗扶持政策，构建和谐劳动关系。实施职业技能培训计划，围绕石材、农特产品加工等方面提升就业创业能力，推进企业新型学徒制，实现更充分更高质量就业。</w:t>
      </w:r>
    </w:p>
    <w:p>
      <w:pPr>
        <w:pStyle w:val="2"/>
        <w:rPr>
          <w:rFonts w:hint="default"/>
          <w:lang w:val="zh-CN"/>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Style w:val="32"/>
          <w:rFonts w:hint="eastAsia" w:ascii="方正小标宋简体" w:hAnsi="方正小标宋简体" w:eastAsia="方正小标宋简体" w:cs="方正小标宋简体"/>
          <w:b w:val="0"/>
          <w:bCs w:val="0"/>
          <w:sz w:val="32"/>
          <w:szCs w:val="32"/>
        </w:rPr>
      </w:pPr>
      <w:bookmarkStart w:id="194" w:name="_Toc12749"/>
      <w:bookmarkStart w:id="195" w:name="_Toc55314935"/>
      <w:r>
        <w:rPr>
          <w:rStyle w:val="32"/>
          <w:rFonts w:hint="eastAsia" w:ascii="方正小标宋简体" w:hAnsi="方正小标宋简体" w:eastAsia="方正小标宋简体" w:cs="方正小标宋简体"/>
          <w:b w:val="0"/>
          <w:bCs w:val="0"/>
          <w:sz w:val="32"/>
          <w:szCs w:val="32"/>
        </w:rPr>
        <w:t>完善社会保险体系</w:t>
      </w:r>
      <w:bookmarkEnd w:id="194"/>
      <w:bookmarkEnd w:id="195"/>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深入实施全民参保计划。</w:t>
      </w:r>
      <w:r>
        <w:rPr>
          <w:rFonts w:hint="default" w:ascii="Times New Roman" w:hAnsi="Times New Roman" w:eastAsia="仿宋_GB2312" w:cs="Times New Roman"/>
          <w:sz w:val="32"/>
          <w:szCs w:val="32"/>
        </w:rPr>
        <w:t>继续落实养老保险制度改革，强化民生兜底保障功能。以农民工、个体从业、灵活就业和新业态从业人员等群体为重点，充分利用街道（乡镇）、社区（村）基层服务平台，推动社保服务向基层延伸，</w:t>
      </w:r>
      <w:r>
        <w:rPr>
          <w:rStyle w:val="56"/>
          <w:rFonts w:hint="default" w:ascii="Times New Roman" w:hAnsi="Times New Roman" w:eastAsia="仿宋_GB2312" w:cs="Times New Roman"/>
          <w:sz w:val="32"/>
          <w:szCs w:val="32"/>
        </w:rPr>
        <w:t>推进法定人群社会保险全覆盖，探索将非本地户籍灵活就业人员纳入参保范围。</w:t>
      </w:r>
      <w:r>
        <w:rPr>
          <w:rFonts w:hint="default" w:ascii="Times New Roman" w:hAnsi="Times New Roman" w:eastAsia="仿宋_GB2312" w:cs="Times New Roman"/>
          <w:sz w:val="32"/>
          <w:szCs w:val="32"/>
        </w:rPr>
        <w:t>加强社保扩面和核查监管工作，推动城乡低保应保尽保。</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完善落实参保缴费政策。</w:t>
      </w:r>
      <w:r>
        <w:rPr>
          <w:rFonts w:hint="default" w:ascii="Times New Roman" w:hAnsi="Times New Roman" w:eastAsia="仿宋_GB2312" w:cs="Times New Roman"/>
          <w:sz w:val="32"/>
          <w:szCs w:val="32"/>
        </w:rPr>
        <w:t>进一步完善参保缴费政策，落实企业职工基本</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"http://pension.hexun.com/" \t "_blank"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养老保险</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基金收支制度。完善并落实城乡居民基本养老保险补缴等政策。落实建筑、交通、矿产、能源等工程建设项目参加工伤保险，认真落实降低社会保险费率政策，鼓励困难企业稳岗就业。依法将在城镇稳定就业的农民工全部纳入职工社会保险，引导城乡居民选择更高档次缴费。</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落实各项社会保障制度。</w:t>
      </w:r>
      <w:r>
        <w:rPr>
          <w:rFonts w:hint="default" w:ascii="Times New Roman" w:hAnsi="Times New Roman" w:eastAsia="仿宋_GB2312" w:cs="Times New Roman"/>
          <w:sz w:val="32"/>
          <w:szCs w:val="32"/>
        </w:rPr>
        <w:t>落实企业职工基本养老保险基金统收统支省级统筹制度，推进机关事业单位养老保险制度改革，完善城乡居民基本养老保险制度。落实工伤、失业保险基金统收统支省级统筹及社会保险待遇合理调整机制，确保社会保险基金安全平稳运行。落实基本医疗保险市级统筹制度，建立以基本医疗保险为主体的多层次医疗保障制度体系，提高重特大疾病和多元医疗需求保障水平。落实最低生活保障制度，健全分层分类的社会救助体系。落实优抚对象普惠优待政策，加强退役军人工作体系和保障制度建设，保障妇女、青少年、残疾人等群体合法权益。</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Style w:val="32"/>
          <w:rFonts w:hint="eastAsia" w:ascii="方正小标宋简体" w:hAnsi="方正小标宋简体" w:eastAsia="方正小标宋简体" w:cs="方正小标宋简体"/>
          <w:b w:val="0"/>
          <w:bCs w:val="0"/>
          <w:sz w:val="32"/>
          <w:szCs w:val="32"/>
        </w:rPr>
      </w:pPr>
      <w:bookmarkStart w:id="196" w:name="_Toc6745"/>
      <w:bookmarkStart w:id="197" w:name="_Toc55314936"/>
      <w:r>
        <w:rPr>
          <w:rStyle w:val="32"/>
          <w:rFonts w:hint="eastAsia" w:ascii="方正小标宋简体" w:hAnsi="方正小标宋简体" w:eastAsia="方正小标宋简体" w:cs="方正小标宋简体"/>
          <w:b w:val="0"/>
          <w:bCs w:val="0"/>
          <w:sz w:val="32"/>
          <w:szCs w:val="32"/>
        </w:rPr>
        <w:t>深化社会救助改革</w:t>
      </w:r>
      <w:bookmarkEnd w:id="196"/>
      <w:bookmarkEnd w:id="197"/>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shd w:val="clear" w:color="auto" w:fill="FFFFFF"/>
        </w:rPr>
        <w:t>健全完善社会救助体系。</w:t>
      </w:r>
      <w:r>
        <w:rPr>
          <w:rFonts w:hint="default" w:ascii="Times New Roman" w:hAnsi="Times New Roman" w:eastAsia="仿宋_GB2312" w:cs="Times New Roman"/>
          <w:sz w:val="32"/>
          <w:szCs w:val="32"/>
        </w:rPr>
        <w:t>研究建立与居民人均可支配收入或居民人均生活消费支出相挂钩的最低生活保障标准动态调整机制，明确刚性支出和就业成本的具体扣减办法，重点探索研究困难群众救助需求综合评估指标体系，围绕群众困难情况，综合考虑家庭状况、经济状况、身体状况、社会关系状况等因素，综合评估救助需求，提供相应救助服务。加强妇幼健康服务能力建设，实施流浪乞讨人员救助。</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shd w:val="clear" w:color="auto" w:fill="FFFFFF"/>
        </w:rPr>
        <w:t>深化社会救助“放管服”改革。</w:t>
      </w:r>
      <w:r>
        <w:rPr>
          <w:rFonts w:hint="default" w:ascii="Times New Roman" w:hAnsi="Times New Roman" w:eastAsia="仿宋_GB2312" w:cs="Times New Roman"/>
          <w:sz w:val="32"/>
          <w:szCs w:val="32"/>
        </w:rPr>
        <w:t>强化主动服务、部门协同，简化办理程序，推进流程再造，健全线上核对“机查”和进村入户“人查”相结合的核查认定工作机制，快速准确认定救助对象，提高社会救助的精准度。坚持便民惠民，优化业务流程，实现社会救助项目“一网通办”。</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Style w:val="32"/>
          <w:rFonts w:hint="eastAsia" w:ascii="方正小标宋简体" w:hAnsi="方正小标宋简体" w:eastAsia="方正小标宋简体" w:cs="方正小标宋简体"/>
          <w:b w:val="0"/>
          <w:bCs w:val="0"/>
          <w:sz w:val="32"/>
          <w:szCs w:val="32"/>
        </w:rPr>
      </w:pPr>
      <w:bookmarkStart w:id="198" w:name="_Toc23822"/>
      <w:bookmarkStart w:id="199" w:name="_Toc55314937"/>
      <w:r>
        <w:rPr>
          <w:rStyle w:val="32"/>
          <w:rFonts w:hint="eastAsia" w:ascii="方正小标宋简体" w:hAnsi="方正小标宋简体" w:eastAsia="方正小标宋简体" w:cs="方正小标宋简体"/>
          <w:b w:val="0"/>
          <w:bCs w:val="0"/>
          <w:sz w:val="32"/>
          <w:szCs w:val="32"/>
        </w:rPr>
        <w:t>构建新型养老服务体系</w:t>
      </w:r>
      <w:bookmarkEnd w:id="198"/>
      <w:bookmarkEnd w:id="199"/>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开展老年健康宣传活动，提升老年人健康素养。</w:t>
      </w:r>
      <w:r>
        <w:rPr>
          <w:rFonts w:hint="default" w:ascii="Times New Roman" w:hAnsi="Times New Roman" w:eastAsia="仿宋_GB2312" w:cs="Times New Roman"/>
          <w:sz w:val="32"/>
          <w:szCs w:val="32"/>
        </w:rPr>
        <w:t>开展老年保健、老年疾病防治与康复、老年健身、科学文化、心理健康、职业技能、家庭理财等内容的教育活动。发挥专业机构服务功能，提供心理咨询支持服务，配备相关专业人员，为老年人进行专业知识培训，为老年人做好心理支持服务。</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加强老年健康公共卫生服务，提高老年健康管理水平。</w:t>
      </w:r>
      <w:r>
        <w:rPr>
          <w:rFonts w:hint="default" w:ascii="Times New Roman" w:hAnsi="Times New Roman" w:eastAsia="仿宋_GB2312" w:cs="Times New Roman"/>
          <w:sz w:val="32"/>
          <w:szCs w:val="32"/>
        </w:rPr>
        <w:t>做好老年疾病预防工作及心理健康与关怀服务。加强老年人健康管理；加强老年人群重点慢性病的早期筛查、早期干预及分类管理；宣传失能预防核心信息，降低老年人失能发生率。</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健全老年医疗卫生服务体系，提高服务质量。</w:t>
      </w:r>
      <w:r>
        <w:rPr>
          <w:rFonts w:hint="default" w:ascii="Times New Roman" w:hAnsi="Times New Roman" w:eastAsia="仿宋_GB2312" w:cs="Times New Roman"/>
          <w:sz w:val="32"/>
          <w:szCs w:val="32"/>
        </w:rPr>
        <w:t>加强医疗卫生服务体系中服务老年人的功能建设。依据现有机构，加强康复医院、护理院和综合医院老年病科建设。推动基层医疗卫生机构积极开展老年人医疗、康复、护理、家庭病床、临终关怀等服务，推动安宁疗护服务的发展。倡导为老年人义诊，为行动不便的老年人提供上门服务。</w:t>
      </w:r>
    </w:p>
    <w:p>
      <w:pPr>
        <w:pageBreakBefore w:val="0"/>
        <w:kinsoku/>
        <w:wordWrap/>
        <w:overflowPunct/>
        <w:topLinePunct w:val="0"/>
        <w:autoSpaceDE/>
        <w:autoSpaceDN/>
        <w:bidi w:val="0"/>
        <w:adjustRightInd/>
        <w:snapToGrid/>
        <w:spacing w:line="560" w:lineRule="exact"/>
        <w:ind w:left="0" w:leftChars="0" w:firstLine="627"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pacing w:val="-4"/>
          <w:sz w:val="32"/>
          <w:szCs w:val="32"/>
        </w:rPr>
        <w:t>积极推动医养结合服务，提高社会资源配置和利用效率。</w:t>
      </w:r>
      <w:r>
        <w:rPr>
          <w:rFonts w:hint="default" w:ascii="Times New Roman" w:hAnsi="Times New Roman" w:eastAsia="仿宋_GB2312" w:cs="Times New Roman"/>
          <w:sz w:val="32"/>
          <w:szCs w:val="32"/>
        </w:rPr>
        <w:t>大力发展医养结合服务，建立健全医疗卫生机构与养老机构合作机制，鼓励多种形式的签约服务、协议合作。支持有条件的养老机构按相关规定申请开办康复医院、护理院、中医医院、安宁疗护机构或医务室、护理站等，重点为失能、失智老人提供所需的医疗护理和生活照护服务。提高基层医疗卫生机构为居家老人提供上门服务的能力。鼓励社会力量以多种形式开展医养结合服务。推动居家老年人长期照护服务的发展。</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建设失能（失智）供养体系工程。</w:t>
      </w:r>
      <w:r>
        <w:rPr>
          <w:rFonts w:hint="default" w:ascii="Times New Roman" w:hAnsi="Times New Roman" w:eastAsia="仿宋_GB2312" w:cs="Times New Roman"/>
          <w:sz w:val="32"/>
          <w:szCs w:val="32"/>
        </w:rPr>
        <w:t>加强失能老年人基本生活保障，全面提升失能失智集中供养服务水平。“十四五”期间，建设一所专门收养失能（失智）困难老年人供养机构。以长期护理（生活照料、康复护理、精神慰藉、社会交往和临终关怀等综合服务）为基本服务内容。以优先满足失能（失智）老年人的专业照护需求。</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弘扬敬老、养老、助老的社会风尚，强化家庭养老功能。</w:t>
      </w:r>
      <w:r>
        <w:rPr>
          <w:rFonts w:hint="default" w:ascii="Times New Roman" w:hAnsi="Times New Roman" w:eastAsia="仿宋_GB2312" w:cs="Times New Roman"/>
          <w:sz w:val="32"/>
          <w:szCs w:val="32"/>
        </w:rPr>
        <w:t>继续落实好老年人乘车优待政策，65周岁及以上老年人免费乘坐市内公共</w:t>
      </w:r>
      <w:r>
        <w:rPr>
          <w:rFonts w:hint="default" w:ascii="Times New Roman" w:hAnsi="Times New Roman" w:eastAsia="仿宋_GB2312" w:cs="Times New Roman"/>
          <w:sz w:val="32"/>
          <w:szCs w:val="32"/>
          <w:lang w:eastAsia="zh-CN"/>
        </w:rPr>
        <w:t>交通工具</w:t>
      </w:r>
      <w:r>
        <w:rPr>
          <w:rFonts w:hint="default" w:ascii="Times New Roman" w:hAnsi="Times New Roman" w:eastAsia="仿宋_GB2312" w:cs="Times New Roman"/>
          <w:sz w:val="32"/>
          <w:szCs w:val="32"/>
        </w:rPr>
        <w:t>。收费公园、园林、景区、文物建筑及遗址类博物馆对65周岁及以上老年人免收门票，未满65周岁老年人享受门票价格优惠。以社区为单位，建设老年活动中心，促进老年人形成健康生活方式，鼓励老年人积极参与社会活动，自觉主动维护身心健康。</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00" w:name="_Toc22737"/>
      <w:bookmarkStart w:id="201" w:name="_Toc55314938"/>
      <w:r>
        <w:rPr>
          <w:rFonts w:hint="eastAsia" w:ascii="方正小标宋简体" w:hAnsi="方正小标宋简体" w:eastAsia="方正小标宋简体" w:cs="方正小标宋简体"/>
          <w:b w:val="0"/>
          <w:bCs w:val="0"/>
          <w:sz w:val="32"/>
          <w:szCs w:val="32"/>
        </w:rPr>
        <w:t>完善住房保障体系</w:t>
      </w:r>
      <w:bookmarkEnd w:id="200"/>
      <w:bookmarkEnd w:id="201"/>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建立住房信息档案。</w:t>
      </w:r>
      <w:r>
        <w:rPr>
          <w:rFonts w:hint="default" w:ascii="Times New Roman" w:hAnsi="Times New Roman" w:eastAsia="仿宋_GB2312" w:cs="Times New Roman"/>
          <w:sz w:val="32"/>
          <w:szCs w:val="32"/>
        </w:rPr>
        <w:t>进行全面详实的城镇房屋普查工作，认真做好危房鉴定工作，完善相关档案资料，抓实抓细住房保障工作。建立以电子数据库为基础的住房档案，摸清全市房屋总量及具体情况，搭建全市统一、动态的房屋数据管理平台。深入了解城镇居民住房情况，统筹协调房屋资源，调整住房结构。开展廉租房核查工作，进一步落实民生工程，解决城市低收入家庭住房困难。</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保障和改善居民住房条件</w:t>
      </w:r>
      <w:r>
        <w:rPr>
          <w:rFonts w:hint="default" w:ascii="Times New Roman" w:hAnsi="Times New Roman" w:eastAsia="仿宋_GB2312" w:cs="Times New Roman"/>
          <w:b/>
          <w:bCs/>
          <w:sz w:val="32"/>
          <w:szCs w:val="32"/>
        </w:rPr>
        <w:t>。</w:t>
      </w:r>
      <w:r>
        <w:rPr>
          <w:rFonts w:hint="default" w:ascii="Times New Roman" w:hAnsi="Times New Roman" w:eastAsia="仿宋_GB2312" w:cs="Times New Roman"/>
          <w:sz w:val="32"/>
          <w:szCs w:val="32"/>
        </w:rPr>
        <w:t>积极贯彻落实国家宏观调控政策，抓住新型城镇化建设契机，围绕“生态宜居城市”建设，进一步健全住房保障体系，完善满足不同需求的住房供应体系，实现蛟河房地产市场总量基本平衡、结构基本合理、价格基本稳定，保障和改善城乡居民住房条件。盘活存量住房和租赁住房市场，构建“低端有保障、中端有扶持、高端有市场”的住房保障和供应体系。</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shd w:val="clear" w:color="auto" w:fill="FFFFFF"/>
        </w:rPr>
        <w:t>建立保障对象审核监管机制。</w:t>
      </w:r>
      <w:r>
        <w:rPr>
          <w:rFonts w:hint="default" w:ascii="Times New Roman" w:hAnsi="Times New Roman" w:eastAsia="仿宋_GB2312" w:cs="Times New Roman"/>
          <w:sz w:val="32"/>
          <w:szCs w:val="32"/>
          <w:shd w:val="clear" w:color="auto" w:fill="FFFFFF"/>
        </w:rPr>
        <w:t>进一步提高公租房准入审核精准度，建立定期复核机制。</w:t>
      </w:r>
      <w:r>
        <w:rPr>
          <w:rFonts w:hint="default" w:ascii="Times New Roman" w:hAnsi="Times New Roman" w:eastAsia="仿宋_GB2312" w:cs="Times New Roman"/>
          <w:sz w:val="32"/>
          <w:szCs w:val="32"/>
        </w:rPr>
        <w:t>对已取得公共租赁住房租赁补贴资格的家庭采取动态管理的方式，每年集中复审一次，对不再符合保障条件的家庭取消其公共租赁住房租赁补贴资格。</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02" w:name="_Toc55314939"/>
      <w:bookmarkStart w:id="203" w:name="_Toc12047"/>
      <w:r>
        <w:rPr>
          <w:rFonts w:hint="eastAsia" w:ascii="方正小标宋简体" w:hAnsi="方正小标宋简体" w:eastAsia="方正小标宋简体" w:cs="方正小标宋简体"/>
          <w:b w:val="0"/>
          <w:bCs w:val="0"/>
          <w:sz w:val="32"/>
          <w:szCs w:val="32"/>
        </w:rPr>
        <w:t>促进人口均衡发展</w:t>
      </w:r>
      <w:bookmarkEnd w:id="202"/>
      <w:bookmarkEnd w:id="203"/>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完善家庭支持政策。</w:t>
      </w:r>
      <w:r>
        <w:rPr>
          <w:rFonts w:hint="default" w:ascii="Times New Roman" w:hAnsi="Times New Roman" w:eastAsia="仿宋_GB2312" w:cs="Times New Roman"/>
          <w:sz w:val="32"/>
          <w:szCs w:val="32"/>
        </w:rPr>
        <w:t>出台家庭综合福利保障政策，解除生育家庭特别是多生育家庭的后顾之忧，推动实现适度生育率水平；精准制定家庭照护者支持政策，以经济补偿、带薪休假安排、免费培训、时间银行等多种方式减轻家庭养老负担，挖掘家庭照护潜力。</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聚焦人口素质提升。</w:t>
      </w:r>
      <w:r>
        <w:rPr>
          <w:rFonts w:hint="default" w:ascii="Times New Roman" w:hAnsi="Times New Roman" w:eastAsia="仿宋_GB2312" w:cs="Times New Roman"/>
          <w:sz w:val="32"/>
          <w:szCs w:val="32"/>
        </w:rPr>
        <w:t>推进人力资源开发利用，促进人口与经济社会、资源环境协调可持续发展，最大限度提高劳动年龄人口素质，提高劳动力供给质量。推动实现从向“人口红利”要效益转变为向“人才红利”要效益，建立各类社会群体终身教育机制。</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推动老龄事业全面协调发展。</w:t>
      </w:r>
      <w:r>
        <w:rPr>
          <w:rFonts w:hint="default" w:ascii="Times New Roman" w:hAnsi="Times New Roman" w:eastAsia="仿宋_GB2312" w:cs="Times New Roman"/>
          <w:sz w:val="32"/>
          <w:szCs w:val="32"/>
        </w:rPr>
        <w:t>积极应对人口老龄化，切实完善养老、医疗等相关保障，以居家为基础，社会为依托，优化完善医养结合的养老服务体系，丰富老年人优待项目，促进形成老有所得、老有所养、老有所为、老有所乐的幸福和谐社会形态。</w:t>
      </w:r>
    </w:p>
    <w:p>
      <w:pPr>
        <w:pageBreakBefore w:val="0"/>
        <w:widowControl/>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pStyle w:val="3"/>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04" w:name="_Toc55314940"/>
      <w:bookmarkStart w:id="205" w:name="_Toc54275598"/>
      <w:bookmarkStart w:id="206" w:name="_Toc20533"/>
      <w:bookmarkStart w:id="207" w:name="_Toc60232832"/>
      <w:r>
        <w:rPr>
          <w:rFonts w:hint="eastAsia" w:ascii="方正小标宋简体" w:hAnsi="方正小标宋简体" w:eastAsia="方正小标宋简体" w:cs="方正小标宋简体"/>
          <w:b w:val="0"/>
          <w:bCs w:val="0"/>
          <w:sz w:val="32"/>
          <w:szCs w:val="32"/>
        </w:rPr>
        <w:t>社会高效能治理</w:t>
      </w:r>
      <w:bookmarkEnd w:id="204"/>
      <w:bookmarkEnd w:id="205"/>
      <w:r>
        <w:rPr>
          <w:rFonts w:hint="eastAsia" w:ascii="方正小标宋简体" w:hAnsi="方正小标宋简体" w:eastAsia="方正小标宋简体" w:cs="方正小标宋简体"/>
          <w:b w:val="0"/>
          <w:bCs w:val="0"/>
          <w:sz w:val="32"/>
          <w:szCs w:val="32"/>
        </w:rPr>
        <w:t>篇</w:t>
      </w:r>
      <w:bookmarkEnd w:id="206"/>
      <w:bookmarkEnd w:id="207"/>
    </w:p>
    <w:p>
      <w:pPr>
        <w:pStyle w:val="4"/>
        <w:pageBreakBefore w:val="0"/>
        <w:kinsoku/>
        <w:wordWrap/>
        <w:overflowPunct/>
        <w:topLinePunct w:val="0"/>
        <w:autoSpaceDE/>
        <w:autoSpaceDN/>
        <w:bidi w:val="0"/>
        <w:adjustRightInd/>
        <w:snapToGrid/>
        <w:spacing w:beforeLines="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08" w:name="_Toc16338"/>
      <w:bookmarkStart w:id="209" w:name="_Toc55314941"/>
      <w:bookmarkStart w:id="210" w:name="_Toc54275599"/>
      <w:bookmarkStart w:id="211" w:name="_Toc60232833"/>
      <w:r>
        <w:rPr>
          <w:rFonts w:hint="eastAsia" w:ascii="方正小标宋简体" w:hAnsi="方正小标宋简体" w:eastAsia="方正小标宋简体" w:cs="方正小标宋简体"/>
          <w:b w:val="0"/>
          <w:bCs w:val="0"/>
          <w:sz w:val="32"/>
          <w:szCs w:val="32"/>
        </w:rPr>
        <w:t>提升政府治理能力</w:t>
      </w:r>
      <w:bookmarkEnd w:id="208"/>
      <w:bookmarkEnd w:id="209"/>
      <w:bookmarkEnd w:id="210"/>
      <w:bookmarkEnd w:id="211"/>
    </w:p>
    <w:p>
      <w:pPr>
        <w:pStyle w:val="5"/>
        <w:pageBreakBefore w:val="0"/>
        <w:numPr>
          <w:ilvl w:val="0"/>
          <w:numId w:val="24"/>
        </w:numPr>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12" w:name="_Toc31676"/>
      <w:bookmarkStart w:id="213" w:name="_Toc55314942"/>
      <w:r>
        <w:rPr>
          <w:rFonts w:hint="eastAsia" w:ascii="方正小标宋简体" w:hAnsi="方正小标宋简体" w:eastAsia="方正小标宋简体" w:cs="方正小标宋简体"/>
          <w:b w:val="0"/>
          <w:bCs w:val="0"/>
          <w:sz w:val="32"/>
          <w:szCs w:val="32"/>
        </w:rPr>
        <w:t>全面建设效能政府</w:t>
      </w:r>
      <w:bookmarkEnd w:id="212"/>
      <w:bookmarkEnd w:id="213"/>
    </w:p>
    <w:p>
      <w:pPr>
        <w:rPr>
          <w:rFonts w:hint="default"/>
        </w:rPr>
      </w:pP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完善市镇服务功能。</w:t>
      </w:r>
      <w:r>
        <w:rPr>
          <w:rFonts w:hint="default" w:ascii="Times New Roman" w:hAnsi="Times New Roman" w:eastAsia="仿宋_GB2312" w:cs="Times New Roman"/>
          <w:sz w:val="32"/>
          <w:szCs w:val="32"/>
        </w:rPr>
        <w:t>搭建公共服务平台，整合全市服务资源，协调各级政府部门，推动建立各级政府和各乡镇、社区便民服务窗口，建立服务长效机制，保障为民服务常态化。不断加强对村便民服务代办点工作的指导和协调，制订并完善对中心工作人员和村便民服务代办点工作人员的业务培训、日常管理、监督考核等制度，进一步优化镇、村两级便民服务工作网络，加强</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便民服务工作人员的业务指导。</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进一步加强依法行政。</w:t>
      </w:r>
      <w:bookmarkStart w:id="214" w:name="_Hlk47101660"/>
      <w:r>
        <w:rPr>
          <w:rFonts w:hint="default" w:ascii="Times New Roman" w:hAnsi="Times New Roman" w:eastAsia="仿宋_GB2312" w:cs="Times New Roman"/>
          <w:sz w:val="32"/>
          <w:szCs w:val="32"/>
        </w:rPr>
        <w:t>强化依法治市、法治政府建设，谋划好“八五”普法</w:t>
      </w:r>
      <w:bookmarkEnd w:id="214"/>
      <w:r>
        <w:rPr>
          <w:rFonts w:hint="default" w:ascii="Times New Roman" w:hAnsi="Times New Roman" w:eastAsia="仿宋_GB2312" w:cs="Times New Roman"/>
          <w:sz w:val="32"/>
          <w:szCs w:val="32"/>
        </w:rPr>
        <w:t>，加大民法典宣传力度。推进依法决策和规范执法，完善重大行政决策程序规定，进一步推行政府法律顾问制度，实施公众参与程序规则，全面推行行政执法“三项制度”。推进跨领域跨部门综合行政执法，强化行政处罚裁量基准常态化管理。强化对权力运行的制约和监督。加强审计监督和政务公开，全面推进基层政务公开标准化</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规范化建设。</w:t>
      </w:r>
    </w:p>
    <w:p>
      <w:pPr>
        <w:pageBreakBefore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sz w:val="32"/>
          <w:szCs w:val="32"/>
          <w:shd w:val="clear" w:color="auto" w:fill="FFFFFF"/>
        </w:rPr>
        <w:t>落实考评制度和奖励办法。</w:t>
      </w:r>
      <w:r>
        <w:rPr>
          <w:rFonts w:hint="default" w:ascii="Times New Roman" w:hAnsi="Times New Roman" w:eastAsia="仿宋_GB2312" w:cs="Times New Roman"/>
          <w:sz w:val="32"/>
          <w:szCs w:val="32"/>
          <w:shd w:val="clear" w:color="auto" w:fill="FFFFFF"/>
        </w:rPr>
        <w:t>充分调动全市广大干部积极作为、攻坚克难，努力完成各项目标任务。</w:t>
      </w:r>
      <w:r>
        <w:rPr>
          <w:rFonts w:hint="default" w:ascii="Times New Roman" w:hAnsi="Times New Roman" w:eastAsia="仿宋_GB2312" w:cs="Times New Roman"/>
          <w:sz w:val="32"/>
          <w:szCs w:val="32"/>
        </w:rPr>
        <w:t>推动建章立制，坚持先试点后复制再推广，推动实现制度成熟定型。明确各项工作责任主体，建立责任落实情况定期通报制度，稳固提高各阶段工作成果，以问题整改推动政府工作效</w:t>
      </w:r>
      <w:r>
        <w:rPr>
          <w:rFonts w:hint="default" w:ascii="Times New Roman" w:hAnsi="Times New Roman" w:eastAsia="仿宋_GB2312" w:cs="Times New Roman"/>
          <w:sz w:val="32"/>
          <w:szCs w:val="32"/>
          <w:shd w:val="clear" w:color="auto" w:fill="FFFFFF"/>
        </w:rPr>
        <w:t>能全面提升，努力建设人民满意的服务型政府。</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15" w:name="_Toc23534"/>
      <w:bookmarkStart w:id="216" w:name="_Toc55314943"/>
      <w:r>
        <w:rPr>
          <w:rFonts w:hint="eastAsia" w:ascii="方正小标宋简体" w:hAnsi="方正小标宋简体" w:eastAsia="方正小标宋简体" w:cs="方正小标宋简体"/>
          <w:b w:val="0"/>
          <w:bCs w:val="0"/>
          <w:sz w:val="32"/>
          <w:szCs w:val="32"/>
        </w:rPr>
        <w:t>完善基层社会治理体系</w:t>
      </w:r>
      <w:bookmarkEnd w:id="215"/>
      <w:bookmarkEnd w:id="216"/>
    </w:p>
    <w:p>
      <w:pPr>
        <w:rPr>
          <w:rFonts w:hint="default"/>
        </w:rPr>
      </w:pP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推动基层民主自治。</w:t>
      </w:r>
      <w:r>
        <w:rPr>
          <w:rStyle w:val="56"/>
          <w:rFonts w:hint="default" w:ascii="Times New Roman" w:hAnsi="Times New Roman" w:eastAsia="仿宋_GB2312" w:cs="Times New Roman"/>
          <w:sz w:val="32"/>
          <w:szCs w:val="32"/>
        </w:rPr>
        <w:t>健全党组织领导的自治、法治、德治相结合的城乡基层治理体系，完善社会基层和乡村协同治理机制</w:t>
      </w:r>
      <w:r>
        <w:rPr>
          <w:rStyle w:val="56"/>
          <w:rFonts w:hint="default" w:ascii="Times New Roman" w:hAnsi="Times New Roman" w:eastAsia="仿宋_GB2312" w:cs="Times New Roman"/>
          <w:sz w:val="32"/>
          <w:szCs w:val="32"/>
          <w:lang w:eastAsia="zh-CN"/>
        </w:rPr>
        <w:t>。</w:t>
      </w:r>
      <w:r>
        <w:rPr>
          <w:rStyle w:val="56"/>
          <w:rFonts w:hint="default" w:ascii="Times New Roman" w:hAnsi="Times New Roman" w:eastAsia="仿宋_GB2312" w:cs="Times New Roman"/>
          <w:sz w:val="32"/>
          <w:szCs w:val="32"/>
        </w:rPr>
        <w:t>加强社区治理能力，综合提升服务功能，实现政府治理和社会调节、居民自治良性组合。健全基层社会治理､城乡社区服务体系，制定基层自治章程和村（居）民公约，逐步开展城乡社区公共议题网上协商和表决</w:t>
      </w:r>
      <w:r>
        <w:rPr>
          <w:rStyle w:val="56"/>
          <w:rFonts w:hint="default" w:ascii="Times New Roman" w:hAnsi="Times New Roman" w:eastAsia="仿宋_GB2312" w:cs="Times New Roman"/>
          <w:sz w:val="32"/>
          <w:szCs w:val="32"/>
          <w:lang w:eastAsia="zh-CN"/>
        </w:rPr>
        <w:t>机制，</w:t>
      </w:r>
      <w:r>
        <w:rPr>
          <w:rStyle w:val="56"/>
          <w:rFonts w:hint="default" w:ascii="Times New Roman" w:hAnsi="Times New Roman" w:eastAsia="仿宋_GB2312" w:cs="Times New Roman"/>
          <w:sz w:val="32"/>
          <w:szCs w:val="32"/>
        </w:rPr>
        <w:t>建立人民群众反映意见和建议的互联网网络渠道，促进居民群众在城乡社会治理、基层公共事务和公益事业中依法自我管理、自我服务、自我教育、自我监督。</w:t>
      </w:r>
    </w:p>
    <w:p>
      <w:pPr>
        <w:pStyle w:val="55"/>
        <w:pageBreakBefore w:val="0"/>
        <w:kinsoku/>
        <w:wordWrap/>
        <w:overflowPunct/>
        <w:topLinePunct w:val="0"/>
        <w:autoSpaceDE/>
        <w:autoSpaceDN/>
        <w:bidi w:val="0"/>
        <w:adjustRightInd/>
        <w:snapToGrid/>
        <w:spacing w:line="560" w:lineRule="exact"/>
        <w:ind w:left="0" w:leftChars="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深化信访制度改革。</w:t>
      </w:r>
      <w:r>
        <w:rPr>
          <w:rStyle w:val="56"/>
          <w:rFonts w:hint="default" w:ascii="Times New Roman" w:hAnsi="Times New Roman" w:eastAsia="仿宋_GB2312" w:cs="Times New Roman"/>
          <w:sz w:val="32"/>
          <w:szCs w:val="32"/>
        </w:rPr>
        <w:t>不断推进阳光信访、责任信访、法治信访建设工作，强化隐患排查和化解，进一步畅通群众诉求表达渠道。着力打造便民、高效的阳光信访新模式，完善人民调解、行政调解、司法调解联动工作体系，建立健全有机衔接、协调联动、高效便捷的矛盾纠纷多元化解机制，及时有效化解社会矛盾，坚决打击各类违法上访行为。坚持和完善社会稳定风险评估机制，从源头上预防和减少社会矛盾。</w:t>
      </w:r>
    </w:p>
    <w:p>
      <w:pPr>
        <w:pStyle w:val="55"/>
        <w:keepNext w:val="0"/>
        <w:keepLines w:val="0"/>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加强基层民主决策。</w:t>
      </w:r>
      <w:r>
        <w:rPr>
          <w:rFonts w:hint="default" w:ascii="Times New Roman" w:hAnsi="Times New Roman" w:eastAsia="仿宋_GB2312" w:cs="Times New Roman"/>
          <w:sz w:val="32"/>
          <w:szCs w:val="32"/>
        </w:rPr>
        <w:t>创新党务公开形式，完善党务公开制度。推进行政办公透明化，借助互联网优势，拓宽科技咨询的民主政治制度建设渠道，推动决策由“封闭型”向“开放型”转变。提高街道干部依法办事的能力和水平，培养公民民主意识。推动实现法律顾问制度向基层延伸，积极配合街道办事处对居民开展法治宣传教育活动，加强法律知识培训。</w:t>
      </w:r>
    </w:p>
    <w:p>
      <w:pPr>
        <w:pStyle w:val="55"/>
        <w:pageBreakBefore w:val="0"/>
        <w:kinsoku/>
        <w:wordWrap/>
        <w:overflowPunct/>
        <w:topLinePunct w:val="0"/>
        <w:autoSpaceDE/>
        <w:autoSpaceDN/>
        <w:bidi w:val="0"/>
        <w:adjustRightInd/>
        <w:snapToGrid/>
        <w:spacing w:line="560" w:lineRule="exact"/>
        <w:ind w:left="0"/>
        <w:textAlignment w:val="auto"/>
        <w:rPr>
          <w:rFonts w:hint="default" w:ascii="Times New Roman" w:hAnsi="Times New Roman" w:eastAsia="仿宋_GB2312" w:cs="Times New Roman"/>
          <w:sz w:val="32"/>
          <w:szCs w:val="32"/>
        </w:rPr>
      </w:pPr>
    </w:p>
    <w:p>
      <w:pPr>
        <w:pStyle w:val="5"/>
        <w:pageBreakBefore w:val="0"/>
        <w:kinsoku/>
        <w:wordWrap/>
        <w:overflowPunct/>
        <w:topLinePunct w:val="0"/>
        <w:autoSpaceDE/>
        <w:autoSpaceDN/>
        <w:bidi w:val="0"/>
        <w:adjustRightInd/>
        <w:snapToGrid/>
        <w:spacing w:before="0" w:beforeLines="0" w:after="0" w:afterLines="0" w:line="560" w:lineRule="exact"/>
        <w:ind w:left="0"/>
        <w:textAlignment w:val="auto"/>
        <w:rPr>
          <w:rFonts w:hint="eastAsia" w:ascii="方正小标宋简体" w:hAnsi="方正小标宋简体" w:eastAsia="方正小标宋简体" w:cs="方正小标宋简体"/>
          <w:b w:val="0"/>
          <w:bCs w:val="0"/>
          <w:sz w:val="32"/>
          <w:szCs w:val="32"/>
        </w:rPr>
      </w:pPr>
      <w:bookmarkStart w:id="217" w:name="_Toc8946"/>
      <w:bookmarkStart w:id="218" w:name="_Toc55314944"/>
      <w:r>
        <w:rPr>
          <w:rFonts w:hint="eastAsia" w:ascii="方正小标宋简体" w:hAnsi="方正小标宋简体" w:eastAsia="方正小标宋简体" w:cs="方正小标宋简体"/>
          <w:b w:val="0"/>
          <w:bCs w:val="0"/>
          <w:sz w:val="32"/>
          <w:szCs w:val="32"/>
        </w:rPr>
        <w:t>创新社会综合治理</w:t>
      </w:r>
      <w:bookmarkEnd w:id="217"/>
      <w:bookmarkEnd w:id="218"/>
    </w:p>
    <w:p>
      <w:pPr>
        <w:rPr>
          <w:rFonts w:hint="default"/>
        </w:rPr>
      </w:pPr>
    </w:p>
    <w:p>
      <w:pPr>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积极协调综治工作中的难题，逐步建立完善综治工作长效机制，</w:t>
      </w:r>
      <w:r>
        <w:rPr>
          <w:rFonts w:hint="default" w:ascii="Times New Roman" w:hAnsi="Times New Roman" w:eastAsia="仿宋_GB2312" w:cs="Times New Roman"/>
          <w:sz w:val="32"/>
          <w:szCs w:val="32"/>
        </w:rPr>
        <w:t>创新发展“六六议事堂”试点经验，着力提升社会矛盾纠纷化解能力，</w:t>
      </w:r>
      <w:r>
        <w:rPr>
          <w:rFonts w:hint="default" w:ascii="Times New Roman" w:hAnsi="Times New Roman" w:eastAsia="仿宋_GB2312" w:cs="Times New Roman"/>
          <w:sz w:val="32"/>
          <w:szCs w:val="32"/>
          <w:lang w:val="zh-CN"/>
        </w:rPr>
        <w:t>加强综治组织保障，不断深化完善综治防控体系建设，加强综治队伍规范化建设。强化宣传引导，发动群众自主管理，不断落实责任义务，调动全员热情参与。建立逐级考核机制，加大检查力度。</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sz w:val="32"/>
          <w:szCs w:val="32"/>
          <w:lang w:val="zh-CN"/>
        </w:rPr>
        <w:t>构建“智慧治理”新模式。</w:t>
      </w:r>
      <w:r>
        <w:rPr>
          <w:rFonts w:hint="default" w:ascii="Times New Roman" w:hAnsi="Times New Roman" w:eastAsia="仿宋_GB2312" w:cs="Times New Roman"/>
          <w:sz w:val="32"/>
          <w:szCs w:val="32"/>
        </w:rPr>
        <w:t>利用互联网等信息化技术，推进政府数据共享化、治理信息化、服务智能化，构建“全市联动、分级治理”的“智慧治理”新模式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shd w:val="clear" w:color="auto" w:fill="FFFFFF"/>
        </w:rPr>
        <w:t>着力构建以市级平台为枢纽、乡镇和社区平台为基础的三级平台建设，充分整合综治资源、维稳资源、服务资源和信息资源，最大限度地发挥实际应用功能。</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shd w:val="clear" w:color="auto" w:fill="FFFFFF"/>
        </w:rPr>
        <w:t>建设农村社会治理综合体。</w:t>
      </w:r>
      <w:r>
        <w:rPr>
          <w:rFonts w:hint="default" w:ascii="Times New Roman" w:hAnsi="Times New Roman" w:eastAsia="仿宋_GB2312" w:cs="Times New Roman"/>
          <w:sz w:val="32"/>
          <w:szCs w:val="32"/>
        </w:rPr>
        <w:t>推动农村社会治理从“共建共治共享”到“五治”融合，逐步完善治安巡查、应急处理、纠纷调解、志愿服务</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食品药品安全协管五项职能，定期开展关爱行动、清洁家园、消防安全、文明示范、品德教育等活动。通过整合各类资源，充分调动农村居民力量，共同参与农村社会治理。进一步强化农村社会综合治理基本要素和主体功能建设，强化特色治理和服务创新，持续推进精准化建设，将心理健康服务和精神文明建设融入社会治理体系中。</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坚持和发展新时代“枫桥经验”。</w:t>
      </w:r>
      <w:r>
        <w:rPr>
          <w:rFonts w:hint="default" w:ascii="Times New Roman" w:hAnsi="Times New Roman" w:eastAsia="仿宋_GB2312" w:cs="Times New Roman"/>
          <w:sz w:val="32"/>
          <w:szCs w:val="32"/>
        </w:rPr>
        <w:t>推进“枫桥式公安派出所”创建工程，以“互联网+法律服务”新模式，推动基层参与社会治理。全面落实府院联动机制，以重大行政争议协调化解和为政府重大项目提供法律意见为切入点，发挥好行政机关的组织优势和法院的专业优势，将更多的行政纠纷尽早化解在萌芽状态。</w:t>
      </w:r>
      <w:r>
        <w:rPr>
          <w:rFonts w:hint="default" w:ascii="Times New Roman" w:hAnsi="Times New Roman" w:eastAsia="仿宋_GB2312" w:cs="Times New Roman"/>
          <w:sz w:val="32"/>
          <w:szCs w:val="32"/>
        </w:rPr>
        <w:br w:type="page"/>
      </w:r>
    </w:p>
    <w:p>
      <w:pPr>
        <w:pStyle w:val="4"/>
        <w:pageBreakBefore w:val="0"/>
        <w:kinsoku/>
        <w:wordWrap/>
        <w:overflowPunct/>
        <w:topLinePunct w:val="0"/>
        <w:autoSpaceDE/>
        <w:autoSpaceDN/>
        <w:bidi w:val="0"/>
        <w:adjustRightInd/>
        <w:snapToGrid/>
        <w:spacing w:beforeLines="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19" w:name="_Toc55314945"/>
      <w:bookmarkStart w:id="220" w:name="_Toc27849"/>
      <w:bookmarkStart w:id="221" w:name="_Toc54275600"/>
      <w:bookmarkStart w:id="222" w:name="_Toc60232834"/>
      <w:r>
        <w:rPr>
          <w:rFonts w:hint="eastAsia" w:ascii="方正小标宋简体" w:hAnsi="方正小标宋简体" w:eastAsia="方正小标宋简体" w:cs="方正小标宋简体"/>
          <w:b w:val="0"/>
          <w:bCs w:val="0"/>
          <w:sz w:val="32"/>
          <w:szCs w:val="32"/>
        </w:rPr>
        <w:t>加强人才队伍建设</w:t>
      </w:r>
      <w:bookmarkEnd w:id="219"/>
      <w:bookmarkEnd w:id="220"/>
      <w:bookmarkEnd w:id="221"/>
      <w:bookmarkEnd w:id="222"/>
    </w:p>
    <w:p>
      <w:pPr>
        <w:pStyle w:val="5"/>
        <w:pageBreakBefore w:val="0"/>
        <w:numPr>
          <w:ilvl w:val="0"/>
          <w:numId w:val="25"/>
        </w:numPr>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23" w:name="_Toc29067"/>
      <w:bookmarkStart w:id="224" w:name="_Toc55314946"/>
      <w:r>
        <w:rPr>
          <w:rFonts w:hint="eastAsia" w:ascii="方正小标宋简体" w:hAnsi="方正小标宋简体" w:eastAsia="方正小标宋简体" w:cs="方正小标宋简体"/>
          <w:b w:val="0"/>
          <w:bCs w:val="0"/>
          <w:sz w:val="32"/>
          <w:szCs w:val="32"/>
        </w:rPr>
        <w:t>加强党政人才梯队建设</w:t>
      </w:r>
      <w:bookmarkEnd w:id="223"/>
    </w:p>
    <w:p>
      <w:pPr>
        <w:rPr>
          <w:rFonts w:hint="default"/>
        </w:rPr>
      </w:pPr>
    </w:p>
    <w:p>
      <w:pPr>
        <w:pStyle w:val="55"/>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坚持把提高领导水平和执政能力，作为领导班子建设的重要内容，积极创建政治素质好、团结协作好、用人导向好、作风形象好、科学发展实绩好的“五好”班子。通过完善人才培养机制，创新人才流动机制，健全人才激励机制，不断深化人才发展体制机制改革。继续发挥好市委党校（行政学院）在党政干部教育培训中的积极作用，强化实践锻炼，建立健全源头培养、跟踪培养、全程培养的素质培养体系，不断加强党政人才培养力度。贯彻落实省委组织部“大学毕业生岗位开发计划”，实施更加积极有效的人才引进培养政策。贯彻落实新时代党的组织路线</w:t>
      </w:r>
      <w:bookmarkStart w:id="249" w:name="_GoBack"/>
      <w:bookmarkEnd w:id="249"/>
      <w:r>
        <w:rPr>
          <w:rFonts w:hint="default" w:ascii="Times New Roman" w:hAnsi="Times New Roman" w:eastAsia="仿宋_GB2312" w:cs="Times New Roman"/>
          <w:sz w:val="32"/>
          <w:szCs w:val="32"/>
        </w:rPr>
        <w:t>，严格执行《党政领导干部选拔任用工作条例》，继续完善干部选拔任用程序，稳步推进忠诚干净担当的高素质干部队伍建设。全面落实激励保障措施，强化对公务员的政治素质考核，切实发挥考核工作指挥棒作用。</w:t>
      </w:r>
    </w:p>
    <w:p>
      <w:pPr>
        <w:pStyle w:val="55"/>
        <w:pageBreakBefore w:val="0"/>
        <w:kinsoku/>
        <w:wordWrap/>
        <w:overflowPunct/>
        <w:topLinePunct w:val="0"/>
        <w:autoSpaceDE/>
        <w:autoSpaceDN/>
        <w:bidi w:val="0"/>
        <w:adjustRightInd/>
        <w:snapToGrid/>
        <w:spacing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p>
    <w:bookmarkEnd w:id="224"/>
    <w:p>
      <w:pPr>
        <w:pStyle w:val="5"/>
        <w:pageBreakBefore w:val="0"/>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25" w:name="_Toc16288"/>
      <w:r>
        <w:rPr>
          <w:rFonts w:hint="eastAsia" w:ascii="方正小标宋简体" w:hAnsi="方正小标宋简体" w:eastAsia="方正小标宋简体" w:cs="方正小标宋简体"/>
          <w:b w:val="0"/>
          <w:bCs w:val="0"/>
          <w:sz w:val="32"/>
          <w:szCs w:val="32"/>
        </w:rPr>
        <w:t>优化教师队伍结构</w:t>
      </w:r>
      <w:bookmarkEnd w:id="225"/>
      <w:r>
        <w:rPr>
          <w:rFonts w:hint="eastAsia" w:ascii="方正小标宋简体" w:hAnsi="方正小标宋简体" w:eastAsia="方正小标宋简体" w:cs="方正小标宋简体"/>
          <w:b w:val="0"/>
          <w:bCs w:val="0"/>
          <w:sz w:val="32"/>
          <w:szCs w:val="32"/>
        </w:rPr>
        <w:t xml:space="preserve"> </w:t>
      </w:r>
    </w:p>
    <w:p>
      <w:pPr>
        <w:rPr>
          <w:rFonts w:hint="default"/>
        </w:rPr>
      </w:pPr>
    </w:p>
    <w:p>
      <w:pPr>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贯彻落实《中共中央国务院关于全面深化新时代教师队伍建设改革的实施意见》，努力建设高素质专业化创新型教师队伍。以教师队伍建设“金字塔”工程为统领，全面开展校长（教师）培养工作。开展“名校长论坛”“名教师论坛”“青年教师大拜师”等活动，采取“活动展示、业绩评比、考核评价”等措施，五年评选出200名优秀校长（教师）、30名标兵校长（教师）、10名十佳校长（教师）。“研培一体”多途径提升教师专业技能，扎实开展各类研培活动。运用“专家引领、实践创新、成果验收”等方式方法，全力提升教育群体的自我修养和能力水平；以继续教育为载体，面向全体教师开展“中小学教师专业能力提升”培训。切实提高思政课教师专业水平</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严格落实《蛟河市深化新时代学校思政课改革创新工作方案》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制定《蛟河市中小学专任教师管理考核办法》，加强对教师日常工作的监管。加大科研的普及力度。开展科研骨干教师培训活动，鼓励教师在教育教学实践中开展“小课题”研究。加大教师补充力度，科学设置岗位，多渠道补充教师。</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26" w:name="_Toc30403"/>
      <w:r>
        <w:rPr>
          <w:rFonts w:hint="eastAsia" w:ascii="方正小标宋简体" w:hAnsi="方正小标宋简体" w:eastAsia="方正小标宋简体" w:cs="方正小标宋简体"/>
          <w:b w:val="0"/>
          <w:bCs w:val="0"/>
          <w:sz w:val="32"/>
          <w:szCs w:val="32"/>
        </w:rPr>
        <w:t>健全医疗卫生人才队伍</w:t>
      </w:r>
      <w:bookmarkEnd w:id="226"/>
    </w:p>
    <w:p>
      <w:pPr>
        <w:rPr>
          <w:rFonts w:hint="default"/>
        </w:rPr>
      </w:pPr>
    </w:p>
    <w:p>
      <w:pPr>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健全完善人才培养和引进机制，健全、完善专业技术人员培养、使用、待遇保障、考核评价和激励机制。注重紧缺人才引进，落实卫生人才招聘政策，增加年度招聘计划数量，多措并举增加卫生人才总量。积极创新人才培养机制，全面落实现有人才培养开发、流动配置、使用评价、激励保障政策</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措施，建立基层人才培养基地，加大基层医疗机构人才培养力度。抓好人才短期培训、上级医院进修和跟班学习，努力培养造就一批高水平本土医疗卫生人才。</w:t>
      </w:r>
    </w:p>
    <w:p>
      <w:pPr>
        <w:pStyle w:val="2"/>
        <w:rPr>
          <w:rFonts w:hint="default"/>
        </w:rPr>
      </w:pPr>
    </w:p>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Chars="200"/>
        <w:textAlignment w:val="auto"/>
        <w:rPr>
          <w:rFonts w:hint="eastAsia" w:ascii="方正小标宋简体" w:hAnsi="方正小标宋简体" w:eastAsia="方正小标宋简体" w:cs="方正小标宋简体"/>
          <w:b w:val="0"/>
          <w:bCs w:val="0"/>
          <w:sz w:val="32"/>
          <w:szCs w:val="32"/>
        </w:rPr>
      </w:pPr>
      <w:bookmarkStart w:id="227" w:name="_Toc2539"/>
      <w:r>
        <w:rPr>
          <w:rFonts w:hint="eastAsia" w:ascii="方正小标宋简体" w:hAnsi="方正小标宋简体" w:eastAsia="方正小标宋简体" w:cs="方正小标宋简体"/>
          <w:b w:val="0"/>
          <w:bCs w:val="0"/>
          <w:sz w:val="32"/>
          <w:szCs w:val="32"/>
          <w:lang w:eastAsia="zh-CN"/>
        </w:rPr>
        <w:t>第四节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大力引进科技创新人才</w:t>
      </w:r>
      <w:bookmarkEnd w:id="227"/>
    </w:p>
    <w:p>
      <w:pPr>
        <w:rPr>
          <w:rFonts w:hint="default"/>
        </w:rPr>
      </w:pPr>
    </w:p>
    <w:p>
      <w:pPr>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深化人才发展体制机制改革，改进科技人才培养激励机制，健全以创新能力、质量、贡献为导向的科技人才评估体系，树立“不求所有、但求所用”的理念，探索“企业需求+高校院所”的引才机制，大力引进一批“候鸟式”急需人才。着力发现、培养、集聚科技领军人才、企业家人才、高技能人才队伍。建立以政府奖励为导向、用人单位奖励为主的激励机制，鼓励通过股权、期权、分红等方式调动人才创新积极性。提高产业工人的经济、政治、文化、社会地位，充分调动产业工人干事创业的积极性和创造性。</w:t>
      </w:r>
    </w:p>
    <w:p>
      <w:pPr>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p>
    <w:p>
      <w:pPr>
        <w:pageBreakBefore w:val="0"/>
        <w:widowControl/>
        <w:kinsoku/>
        <w:wordWrap/>
        <w:overflowPunct/>
        <w:topLinePunct w:val="0"/>
        <w:autoSpaceDE/>
        <w:autoSpaceDN/>
        <w:bidi w:val="0"/>
        <w:adjustRightInd/>
        <w:snapToGrid/>
        <w:spacing w:line="560" w:lineRule="exact"/>
        <w:ind w:lef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pStyle w:val="4"/>
        <w:pageBreakBefore w:val="0"/>
        <w:kinsoku/>
        <w:wordWrap/>
        <w:overflowPunct/>
        <w:topLinePunct w:val="0"/>
        <w:autoSpaceDE/>
        <w:autoSpaceDN/>
        <w:bidi w:val="0"/>
        <w:adjustRightInd/>
        <w:snapToGrid/>
        <w:spacing w:beforeLines="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28" w:name="_Toc60232835"/>
      <w:bookmarkStart w:id="229" w:name="_Toc4269"/>
      <w:bookmarkStart w:id="230" w:name="_Toc55314951"/>
      <w:r>
        <w:rPr>
          <w:rFonts w:hint="eastAsia" w:ascii="方正小标宋简体" w:hAnsi="方正小标宋简体" w:eastAsia="方正小标宋简体" w:cs="方正小标宋简体"/>
          <w:b w:val="0"/>
          <w:bCs w:val="0"/>
          <w:sz w:val="32"/>
          <w:szCs w:val="32"/>
        </w:rPr>
        <w:t>防范化解重大风险</w:t>
      </w:r>
      <w:bookmarkEnd w:id="228"/>
      <w:bookmarkEnd w:id="229"/>
      <w:bookmarkEnd w:id="230"/>
    </w:p>
    <w:p>
      <w:pPr>
        <w:pStyle w:val="5"/>
        <w:pageBreakBefore w:val="0"/>
        <w:numPr>
          <w:ilvl w:val="0"/>
          <w:numId w:val="26"/>
        </w:numPr>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31" w:name="_Toc15847"/>
      <w:r>
        <w:rPr>
          <w:rFonts w:hint="eastAsia" w:ascii="方正小标宋简体" w:hAnsi="方正小标宋简体" w:eastAsia="方正小标宋简体" w:cs="方正小标宋简体"/>
          <w:b w:val="0"/>
          <w:bCs w:val="0"/>
          <w:sz w:val="32"/>
          <w:szCs w:val="32"/>
        </w:rPr>
        <w:t>防范化解生产领域重大风险</w:t>
      </w:r>
      <w:bookmarkEnd w:id="231"/>
    </w:p>
    <w:p>
      <w:pPr>
        <w:rPr>
          <w:rFonts w:hint="default"/>
        </w:rPr>
      </w:pPr>
    </w:p>
    <w:p>
      <w:pPr>
        <w:pageBreakBefore w:val="0"/>
        <w:kinsoku/>
        <w:wordWrap/>
        <w:overflowPunct/>
        <w:topLinePunct w:val="0"/>
        <w:autoSpaceDE/>
        <w:autoSpaceDN/>
        <w:bidi w:val="0"/>
        <w:adjustRightInd/>
        <w:snapToGrid/>
        <w:spacing w:line="560" w:lineRule="exact"/>
        <w:ind w:left="0" w:firstLine="643" w:firstLineChars="200"/>
        <w:textAlignment w:val="auto"/>
        <w:rPr>
          <w:rStyle w:val="56"/>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强化生产安全。</w:t>
      </w:r>
      <w:r>
        <w:rPr>
          <w:rStyle w:val="56"/>
          <w:rFonts w:hint="default" w:ascii="Times New Roman" w:hAnsi="Times New Roman" w:eastAsia="仿宋_GB2312" w:cs="Times New Roman"/>
          <w:sz w:val="32"/>
          <w:szCs w:val="32"/>
        </w:rPr>
        <w:t>深入实施安全生产专项整治三年行动，完善和落实安全生产责任制。扎实开展安全大检查隐患大排查，建立事故隐患台账与隐患治理台账。认真落实行业监管责任，做到管行业必须管安全、管生产经营必须管安全、管业务必须管安全，严防各类事故发生。全面加强各行业领域安全整治，深入排查和消除煤矿、非煤矿山、道路交通、建筑施工、危险化学品、燃气、旅游、消防和人员密集场所、农用车载人等重点行业领域安全隐患。认真落实行业监管责任，做到“三个必须”，坚决遏制重特大安全事故发生。严格落实企业安全生产主体责任，依法依规、扎扎实实做好安全生产各项管理工作，坚决杜绝违规作业和违章操作，确保把事故隐患消灭在萌芽状态。完善各类灾害风险调查评估、监测预警预报等制度体系，提升灾害综合防控和抢险救援能力，全面提高公共安全保障水平。</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防范化解交通运输领域重大风险。</w:t>
      </w:r>
      <w:r>
        <w:rPr>
          <w:rFonts w:hint="default" w:ascii="Times New Roman" w:hAnsi="Times New Roman" w:eastAsia="仿宋_GB2312" w:cs="Times New Roman"/>
          <w:sz w:val="32"/>
          <w:szCs w:val="32"/>
        </w:rPr>
        <w:t>深入开展道路交通安全专项整治行动，以“两客一危”、重型货运企业、车辆为重点，严厉查处货车载人、超员超载超速、无证无牌驾驶等违法违规行为，严厉打击“黑车”非法客运，</w:t>
      </w:r>
      <w:r>
        <w:rPr>
          <w:rFonts w:hint="default" w:ascii="Times New Roman" w:hAnsi="Times New Roman" w:eastAsia="仿宋_GB2312" w:cs="Times New Roman"/>
          <w:sz w:val="32"/>
          <w:szCs w:val="32"/>
          <w:lang w:eastAsia="zh-CN"/>
        </w:rPr>
        <w:t>重点</w:t>
      </w:r>
      <w:r>
        <w:rPr>
          <w:rFonts w:hint="default" w:ascii="Times New Roman" w:hAnsi="Times New Roman" w:eastAsia="仿宋_GB2312" w:cs="Times New Roman"/>
          <w:sz w:val="32"/>
          <w:szCs w:val="32"/>
        </w:rPr>
        <w:t>突出对“营转非”大客车非法客运的组织打击，杜绝非法客运导致事故发生；开展维修行业专项执法行动，铁腕整治未备案及违法经营维修企业，确保整治行动取得实效。结合实际生产生活情况，统筹各种资源，重点着力解决农民集中下地用车问题，保障群众出行安全。</w:t>
      </w:r>
    </w:p>
    <w:p>
      <w:pPr>
        <w:pStyle w:val="2"/>
        <w:rPr>
          <w:rFonts w:hint="default"/>
        </w:rPr>
      </w:pPr>
    </w:p>
    <w:p>
      <w:pPr>
        <w:pStyle w:val="5"/>
        <w:pageBreakBefore w:val="0"/>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32" w:name="_Toc11049"/>
      <w:r>
        <w:rPr>
          <w:rFonts w:hint="eastAsia" w:ascii="方正小标宋简体" w:hAnsi="方正小标宋简体" w:eastAsia="方正小标宋简体" w:cs="方正小标宋简体"/>
          <w:b w:val="0"/>
          <w:bCs w:val="0"/>
          <w:sz w:val="32"/>
          <w:szCs w:val="32"/>
        </w:rPr>
        <w:t>防范化解生活领域重大风险</w:t>
      </w:r>
      <w:bookmarkEnd w:id="232"/>
    </w:p>
    <w:p>
      <w:pPr>
        <w:rPr>
          <w:rFonts w:hint="eastAsia"/>
        </w:rPr>
      </w:pP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确保食品药品安全。</w:t>
      </w:r>
      <w:r>
        <w:rPr>
          <w:rFonts w:hint="default" w:ascii="Times New Roman" w:hAnsi="Times New Roman" w:eastAsia="仿宋_GB2312" w:cs="Times New Roman"/>
          <w:sz w:val="32"/>
          <w:szCs w:val="32"/>
        </w:rPr>
        <w:t>完善食品药品安全综合监管体系，重点针对校园及其周边、餐饮聚集区、农贸批发市场等区域，开展食品安全监督检查工作。重点对食药安全单位进行督导检查，全面排查食品药品安全和消防隐患。强化制度机制建设，夯实安全基础；建立食品药品安全综合监督、组织协调机制，统筹制定食品药品安全规划。采取最严谨的标准、最严格的监管、最严厉的处罚、最严肃的问责，进一步加强食品安全工作，筑牢食品药品安全防护网，确保人民群众“舌尖上的安全”。</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加强治安防控体系建设。</w:t>
      </w:r>
      <w:r>
        <w:rPr>
          <w:rFonts w:hint="default" w:ascii="Times New Roman" w:hAnsi="Times New Roman" w:eastAsia="仿宋_GB2312" w:cs="Times New Roman"/>
          <w:sz w:val="32"/>
          <w:szCs w:val="32"/>
        </w:rPr>
        <w:t>深入推进平安蛟河建设，坚持专群结合、群防群治，建设立体化、法治化、专业化、智能化社会治安防控体系，形成城乡统筹、网上网下融合、人防物防技防结合、打防管控一体的新格局。常态化开展扫黑除恶专项斗争，围绕黑拐枪、盗抢骗、黄赌毒、食药环等突出犯罪活动开展专项整治，坚决打击各类违法犯罪活动。落实禁毒工作主体责任，强化禁毒办建设，构建党委领导、政府负责、部门协同、社会共治的新时代禁毒工作体系。</w:t>
      </w:r>
    </w:p>
    <w:p>
      <w:pPr>
        <w:pStyle w:val="2"/>
        <w:rPr>
          <w:rFonts w:hint="default"/>
        </w:rPr>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pageBreakBefore w:val="0"/>
              <w:kinsoku/>
              <w:wordWrap/>
              <w:overflowPunct/>
              <w:topLinePunct w:val="0"/>
              <w:autoSpaceDE/>
              <w:autoSpaceDN/>
              <w:bidi w:val="0"/>
              <w:adjustRightInd/>
              <w:snapToGrid/>
              <w:spacing w:line="400" w:lineRule="exact"/>
              <w:ind w:firstLine="422" w:firstLineChars="200"/>
              <w:jc w:val="center"/>
              <w:textAlignment w:val="auto"/>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专栏2</w:t>
            </w:r>
            <w:r>
              <w:rPr>
                <w:rFonts w:hint="default" w:ascii="Times New Roman" w:hAnsi="Times New Roman" w:eastAsia="仿宋_GB2312" w:cs="Times New Roman"/>
                <w:b/>
                <w:bCs/>
                <w:sz w:val="21"/>
                <w:szCs w:val="21"/>
                <w:lang w:val="en-US" w:eastAsia="zh-CN"/>
              </w:rPr>
              <w:t>2</w:t>
            </w:r>
            <w:r>
              <w:rPr>
                <w:rFonts w:hint="default" w:ascii="Times New Roman" w:hAnsi="Times New Roman" w:eastAsia="仿宋_GB2312" w:cs="Times New Roman"/>
                <w:b/>
                <w:bCs/>
                <w:sz w:val="21"/>
                <w:szCs w:val="21"/>
              </w:rPr>
              <w:t xml:space="preserve"> 公共安全设施重点项目</w:t>
            </w:r>
          </w:p>
          <w:p>
            <w:pPr>
              <w:pageBreakBefore w:val="0"/>
              <w:kinsoku/>
              <w:wordWrap/>
              <w:overflowPunct/>
              <w:topLinePunct w:val="0"/>
              <w:autoSpaceDE/>
              <w:autoSpaceDN/>
              <w:bidi w:val="0"/>
              <w:adjustRightInd/>
              <w:snapToGrid/>
              <w:spacing w:line="400" w:lineRule="exact"/>
              <w:ind w:firstLine="422" w:firstLineChars="20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社会治安治理体系建设。</w:t>
            </w:r>
            <w:r>
              <w:rPr>
                <w:rFonts w:hint="default" w:ascii="Times New Roman" w:hAnsi="Times New Roman" w:eastAsia="仿宋_GB2312" w:cs="Times New Roman"/>
                <w:sz w:val="21"/>
                <w:szCs w:val="21"/>
              </w:rPr>
              <w:t>天网工程：在蛟河境内安装摄像头</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城市200个</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农村300个</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12处交通要塞建设电子围栏系统；新建技侦定位系统</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铁桶工程:</w:t>
            </w:r>
            <w:r>
              <w:rPr>
                <w:rFonts w:hint="default" w:ascii="Times New Roman" w:hAnsi="Times New Roman" w:eastAsia="仿宋_GB2312" w:cs="Times New Roman"/>
                <w:sz w:val="21"/>
                <w:szCs w:val="21"/>
                <w:lang w:eastAsia="zh-CN"/>
              </w:rPr>
              <w:t>对</w:t>
            </w:r>
            <w:r>
              <w:rPr>
                <w:rFonts w:hint="default" w:ascii="Times New Roman" w:hAnsi="Times New Roman" w:eastAsia="仿宋_GB2312" w:cs="Times New Roman"/>
                <w:sz w:val="21"/>
                <w:szCs w:val="21"/>
              </w:rPr>
              <w:t>看守所、拘留所监控系统进行改造，建设智慧防控、智慧监管体系</w:t>
            </w:r>
            <w:r>
              <w:rPr>
                <w:rFonts w:hint="default" w:ascii="Times New Roman" w:hAnsi="Times New Roman" w:eastAsia="仿宋_GB2312" w:cs="Times New Roman"/>
                <w:sz w:val="21"/>
                <w:szCs w:val="21"/>
                <w:lang w:eastAsia="zh-CN"/>
              </w:rPr>
              <w:t>。</w:t>
            </w:r>
            <w:r>
              <w:rPr>
                <w:rFonts w:hint="default" w:ascii="Times New Roman" w:hAnsi="Times New Roman" w:eastAsia="仿宋_GB2312" w:cs="Times New Roman"/>
                <w:sz w:val="21"/>
                <w:szCs w:val="21"/>
              </w:rPr>
              <w:t>警犬基地：改造面积360平方米，购置相关警犬装备。</w:t>
            </w:r>
          </w:p>
          <w:p>
            <w:pPr>
              <w:pageBreakBefore w:val="0"/>
              <w:kinsoku/>
              <w:wordWrap/>
              <w:overflowPunct/>
              <w:topLinePunct w:val="0"/>
              <w:autoSpaceDE/>
              <w:autoSpaceDN/>
              <w:bidi w:val="0"/>
              <w:adjustRightInd/>
              <w:snapToGrid/>
              <w:spacing w:line="400" w:lineRule="exact"/>
              <w:ind w:firstLine="422" w:firstLineChars="20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城市智慧交通建设。</w:t>
            </w:r>
            <w:r>
              <w:rPr>
                <w:rFonts w:hint="default" w:ascii="Times New Roman" w:hAnsi="Times New Roman" w:eastAsia="仿宋_GB2312" w:cs="Times New Roman"/>
                <w:sz w:val="21"/>
                <w:szCs w:val="21"/>
              </w:rPr>
              <w:t>深入推进城市指挥交通平台建设，提高交通警情发现与处置效率、保障城市交通出行安全。升级改造现有信号灯控制路口，实现城区交通信号智能控制，提高道路通行能力。增加公路交通智能卡口点位数量，升级改造现有公路电子卡口设备23处，确保国省干道、县乡公路交通秩序安全稳定。</w:t>
            </w:r>
          </w:p>
          <w:p>
            <w:pPr>
              <w:pageBreakBefore w:val="0"/>
              <w:kinsoku/>
              <w:wordWrap/>
              <w:overflowPunct/>
              <w:topLinePunct w:val="0"/>
              <w:autoSpaceDE/>
              <w:autoSpaceDN/>
              <w:bidi w:val="0"/>
              <w:adjustRightInd/>
              <w:snapToGrid/>
              <w:spacing w:line="400" w:lineRule="exact"/>
              <w:ind w:firstLine="422" w:firstLineChars="20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警用数字集群通信系统建设。</w:t>
            </w:r>
            <w:r>
              <w:rPr>
                <w:rFonts w:hint="default" w:ascii="Times New Roman" w:hAnsi="Times New Roman" w:eastAsia="仿宋_GB2312" w:cs="Times New Roman"/>
                <w:sz w:val="21"/>
                <w:szCs w:val="21"/>
              </w:rPr>
              <w:t>在城区及14个乡镇街分别选点建设数字集群通信系统，建成全覆盖的公安无线数字应急指挥网，实现全网自动漫游。</w:t>
            </w:r>
          </w:p>
        </w:tc>
      </w:tr>
    </w:tbl>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Chars="200"/>
        <w:textAlignment w:val="auto"/>
        <w:rPr>
          <w:rFonts w:hint="eastAsia" w:ascii="方正小标宋简体" w:hAnsi="方正小标宋简体" w:eastAsia="方正小标宋简体" w:cs="方正小标宋简体"/>
          <w:b w:val="0"/>
          <w:bCs w:val="0"/>
          <w:sz w:val="32"/>
          <w:szCs w:val="32"/>
          <w:lang w:eastAsia="zh-CN"/>
        </w:rPr>
      </w:pPr>
      <w:bookmarkStart w:id="233" w:name="_Toc6207"/>
    </w:p>
    <w:p>
      <w:pPr>
        <w:pStyle w:val="5"/>
        <w:pageBreakBefore w:val="0"/>
        <w:numPr>
          <w:ilvl w:val="0"/>
          <w:numId w:val="0"/>
        </w:numPr>
        <w:kinsoku/>
        <w:wordWrap/>
        <w:overflowPunct/>
        <w:topLinePunct w:val="0"/>
        <w:autoSpaceDE/>
        <w:autoSpaceDN/>
        <w:bidi w:val="0"/>
        <w:adjustRightInd/>
        <w:snapToGrid/>
        <w:spacing w:before="0" w:beforeLines="0" w:after="0" w:afterLines="0" w:line="560" w:lineRule="exact"/>
        <w:ind w:leftChars="200"/>
        <w:textAlignment w:val="auto"/>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eastAsia="zh-CN"/>
        </w:rPr>
        <w:t>第三节</w:t>
      </w:r>
      <w:r>
        <w:rPr>
          <w:rFonts w:hint="eastAsia" w:ascii="方正小标宋简体" w:hAnsi="方正小标宋简体" w:eastAsia="方正小标宋简体" w:cs="方正小标宋简体"/>
          <w:b w:val="0"/>
          <w:bCs w:val="0"/>
          <w:sz w:val="32"/>
          <w:szCs w:val="32"/>
          <w:lang w:val="en-US" w:eastAsia="zh-CN"/>
        </w:rPr>
        <w:t xml:space="preserve"> </w:t>
      </w:r>
      <w:r>
        <w:rPr>
          <w:rFonts w:hint="eastAsia" w:ascii="方正小标宋简体" w:hAnsi="方正小标宋简体" w:eastAsia="方正小标宋简体" w:cs="方正小标宋简体"/>
          <w:b w:val="0"/>
          <w:bCs w:val="0"/>
          <w:sz w:val="32"/>
          <w:szCs w:val="32"/>
        </w:rPr>
        <w:t>整体提升防灾减灾救灾能力</w:t>
      </w:r>
      <w:bookmarkEnd w:id="233"/>
    </w:p>
    <w:p>
      <w:pPr>
        <w:rPr>
          <w:rFonts w:hint="eastAsia"/>
        </w:rPr>
      </w:pP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强化自然灾害风险管控。</w:t>
      </w:r>
      <w:r>
        <w:rPr>
          <w:rFonts w:hint="default" w:ascii="Times New Roman" w:hAnsi="Times New Roman" w:eastAsia="仿宋_GB2312" w:cs="Times New Roman"/>
          <w:sz w:val="32"/>
          <w:szCs w:val="32"/>
        </w:rPr>
        <w:t>开展全市自然灾害综合风险普查，建立自然灾害风险隐患数据库，建立健全风险管理制度，强化风险隐患分级分类监控，提升风险化解和排除能力。</w:t>
      </w:r>
      <w:r>
        <w:rPr>
          <w:rFonts w:hint="default" w:ascii="Times New Roman" w:hAnsi="Times New Roman" w:eastAsia="仿宋_GB2312" w:cs="Times New Roman"/>
          <w:bCs/>
          <w:sz w:val="32"/>
          <w:szCs w:val="32"/>
        </w:rPr>
        <w:t>加强灾害监测预警预报平台网络建设，构建空、天、地一体化全域覆盖的自然灾害监测系统，提高多灾种和灾害链综合监测、风险早期识别和预警预报能力。</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综合提升防灾减灾救灾能力。</w:t>
      </w:r>
      <w:r>
        <w:rPr>
          <w:rFonts w:hint="default" w:ascii="Times New Roman" w:hAnsi="Times New Roman" w:eastAsia="仿宋_GB2312" w:cs="Times New Roman"/>
          <w:sz w:val="32"/>
          <w:szCs w:val="32"/>
        </w:rPr>
        <w:t>建设推进“互联网＋”、大数据、物联网、云计算、遥感、救援机器人等新技术新方法的应用，加强科技防灾减灾救灾能力。开展社区灾害风险识别与评估，编制社区灾害风险图，加强社区灾害应急预案编制和演练，增强基层防灾减灾救灾能力。整合应急、林业、水利、公安、民政、卫健、交通、消防、森防、气象等部门力量，强化突发自然灾害应急指挥和决策系统建设，完善综合防灾减灾救灾体系。建立健全与经济社会发展水平相适应的防灾减灾救灾投入机制，加大防灾减灾救灾经费投入。</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开展全市防灾减灾</w:t>
      </w:r>
      <w:r>
        <w:rPr>
          <w:rFonts w:hint="default" w:ascii="Times New Roman" w:hAnsi="Times New Roman" w:eastAsia="仿宋_GB2312" w:cs="Times New Roman"/>
          <w:b/>
          <w:bCs/>
          <w:sz w:val="32"/>
          <w:szCs w:val="32"/>
          <w:lang w:eastAsia="zh-CN"/>
        </w:rPr>
        <w:t>救灾</w:t>
      </w:r>
      <w:r>
        <w:rPr>
          <w:rFonts w:hint="default" w:ascii="Times New Roman" w:hAnsi="Times New Roman" w:eastAsia="仿宋_GB2312" w:cs="Times New Roman"/>
          <w:b/>
          <w:bCs/>
          <w:sz w:val="32"/>
          <w:szCs w:val="32"/>
        </w:rPr>
        <w:t>教育活动。</w:t>
      </w:r>
      <w:r>
        <w:rPr>
          <w:rFonts w:hint="default" w:ascii="Times New Roman" w:hAnsi="Times New Roman" w:eastAsia="仿宋_GB2312" w:cs="Times New Roman"/>
          <w:sz w:val="32"/>
          <w:szCs w:val="32"/>
        </w:rPr>
        <w:t>通过“线上＋线下”模式，定期开展多项防灾减灾救灾教育宣传活动，重点对社区、学校、医院、敬老院、福利院、建筑工地、火车站等人员密集场所和重要设施进行严密排查和集中整治，组织开展防灾减灾救灾避险逃生演练。利用网络、微信转发地质灾害防治技能常识，增强市民防灾减灾救灾意识和自救互救能力，进一步促进社会各界对防灾减灾救灾工作的关注和了解。</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shd w:val="clear" w:color="auto" w:fill="FFFFFF"/>
        </w:rPr>
        <w:t>合理制定防灾减灾救灾专项规划。</w:t>
      </w:r>
      <w:r>
        <w:rPr>
          <w:rFonts w:hint="default" w:ascii="Times New Roman" w:hAnsi="Times New Roman" w:eastAsia="仿宋_GB2312" w:cs="Times New Roman"/>
          <w:sz w:val="32"/>
          <w:szCs w:val="32"/>
        </w:rPr>
        <w:t>加强防灾减灾救灾顶层设计，</w:t>
      </w:r>
      <w:r>
        <w:rPr>
          <w:rFonts w:hint="default" w:ascii="Times New Roman" w:hAnsi="Times New Roman" w:eastAsia="仿宋_GB2312" w:cs="Times New Roman"/>
          <w:sz w:val="32"/>
          <w:szCs w:val="32"/>
          <w:shd w:val="clear" w:color="auto" w:fill="FFFFFF"/>
        </w:rPr>
        <w:t>编制《蛟河市“十四五”</w:t>
      </w:r>
      <w:r>
        <w:rPr>
          <w:rFonts w:hint="default" w:ascii="Times New Roman" w:hAnsi="Times New Roman" w:eastAsia="仿宋_GB2312" w:cs="Times New Roman"/>
          <w:sz w:val="32"/>
          <w:szCs w:val="32"/>
        </w:rPr>
        <w:t>防灾减灾救灾</w:t>
      </w:r>
      <w:r>
        <w:rPr>
          <w:rFonts w:hint="default" w:ascii="Times New Roman" w:hAnsi="Times New Roman" w:eastAsia="仿宋_GB2312" w:cs="Times New Roman"/>
          <w:sz w:val="32"/>
          <w:szCs w:val="32"/>
          <w:shd w:val="clear" w:color="auto" w:fill="FFFFFF"/>
        </w:rPr>
        <w:t>专项规划》</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对已建成的建筑物、构筑物、城市重点工程及农村危旧房屋，按照抗震设防要求进行具体评价和鉴定，并根据鉴定和评价的结果进行加固、维修和设防。有步骤有计划地进行改造和建设，合理布置避灾疏散场地和道路，确保在灾害发生时的紧急交通运输路线。</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明确防控责任，强化责任落实。</w:t>
      </w:r>
      <w:r>
        <w:rPr>
          <w:rFonts w:hint="default" w:ascii="Times New Roman" w:hAnsi="Times New Roman" w:eastAsia="仿宋_GB2312" w:cs="Times New Roman"/>
          <w:sz w:val="32"/>
          <w:szCs w:val="32"/>
        </w:rPr>
        <w:t>构建属地领导、部门防控、社会参与、职责清晰的自然灾害风险防控责任体系，落实主体责任，强化风险管控，形成全方位、网格化的管理模式，理顺风险管控事权，消除管控盲区，把具体措施落实到位，做到齐抓共管、各司其职，各负其责。</w:t>
      </w:r>
    </w:p>
    <w:p>
      <w:pPr>
        <w:pStyle w:val="2"/>
        <w:rPr>
          <w:rFonts w:hint="default"/>
        </w:rPr>
      </w:pP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pageBreakBefore w:val="0"/>
              <w:kinsoku/>
              <w:wordWrap/>
              <w:overflowPunct/>
              <w:topLinePunct w:val="0"/>
              <w:autoSpaceDE/>
              <w:autoSpaceDN/>
              <w:bidi w:val="0"/>
              <w:adjustRightInd/>
              <w:snapToGrid/>
              <w:spacing w:line="240" w:lineRule="auto"/>
              <w:ind w:firstLine="422" w:firstLineChars="200"/>
              <w:jc w:val="center"/>
              <w:textAlignment w:val="auto"/>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专栏2</w:t>
            </w:r>
            <w:r>
              <w:rPr>
                <w:rFonts w:hint="default" w:ascii="Times New Roman" w:hAnsi="Times New Roman" w:eastAsia="仿宋_GB2312" w:cs="Times New Roman"/>
                <w:b/>
                <w:bCs/>
                <w:sz w:val="21"/>
                <w:szCs w:val="21"/>
                <w:lang w:val="en-US" w:eastAsia="zh-CN"/>
              </w:rPr>
              <w:t>3</w:t>
            </w:r>
            <w:r>
              <w:rPr>
                <w:rFonts w:hint="default" w:ascii="Times New Roman" w:hAnsi="Times New Roman" w:eastAsia="仿宋_GB2312" w:cs="Times New Roman"/>
                <w:b/>
                <w:bCs/>
                <w:sz w:val="21"/>
                <w:szCs w:val="21"/>
              </w:rPr>
              <w:t xml:space="preserve"> 应急设施重点项目</w:t>
            </w:r>
          </w:p>
          <w:p>
            <w:pPr>
              <w:pageBreakBefore w:val="0"/>
              <w:kinsoku/>
              <w:wordWrap/>
              <w:overflowPunct/>
              <w:topLinePunct w:val="0"/>
              <w:autoSpaceDE/>
              <w:autoSpaceDN/>
              <w:bidi w:val="0"/>
              <w:adjustRightInd/>
              <w:snapToGrid/>
              <w:spacing w:line="240" w:lineRule="auto"/>
              <w:ind w:firstLine="422" w:firstLineChars="20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bCs/>
                <w:sz w:val="21"/>
                <w:szCs w:val="21"/>
              </w:rPr>
              <w:t>应急物资储备仓库。</w:t>
            </w:r>
            <w:r>
              <w:rPr>
                <w:rFonts w:hint="default" w:ascii="Times New Roman" w:hAnsi="Times New Roman" w:eastAsia="仿宋_GB2312" w:cs="Times New Roman"/>
                <w:b w:val="0"/>
                <w:bCs w:val="0"/>
                <w:sz w:val="21"/>
                <w:szCs w:val="21"/>
                <w:lang w:eastAsia="zh-CN"/>
              </w:rPr>
              <w:t>在</w:t>
            </w:r>
            <w:r>
              <w:rPr>
                <w:rFonts w:hint="default" w:ascii="Times New Roman" w:hAnsi="Times New Roman" w:eastAsia="仿宋_GB2312" w:cs="Times New Roman"/>
                <w:b w:val="0"/>
                <w:bCs w:val="0"/>
                <w:sz w:val="21"/>
                <w:szCs w:val="21"/>
              </w:rPr>
              <w:t>蛟</w:t>
            </w:r>
            <w:r>
              <w:rPr>
                <w:rFonts w:hint="default" w:ascii="Times New Roman" w:hAnsi="Times New Roman" w:eastAsia="仿宋_GB2312" w:cs="Times New Roman"/>
                <w:sz w:val="21"/>
                <w:szCs w:val="21"/>
              </w:rPr>
              <w:t>河经济开发区、新站镇、天岗镇、白石山镇、松江镇。新建市本级应急物资储备仓库1座，应急物资储备分库4座，</w:t>
            </w:r>
          </w:p>
          <w:p>
            <w:pPr>
              <w:pageBreakBefore w:val="0"/>
              <w:kinsoku/>
              <w:wordWrap/>
              <w:overflowPunct/>
              <w:topLinePunct w:val="0"/>
              <w:autoSpaceDE/>
              <w:autoSpaceDN/>
              <w:bidi w:val="0"/>
              <w:adjustRightInd/>
              <w:snapToGrid/>
              <w:spacing w:line="240" w:lineRule="auto"/>
              <w:ind w:firstLine="422" w:firstLineChars="200"/>
              <w:jc w:val="left"/>
              <w:textAlignment w:val="auto"/>
              <w:rPr>
                <w:rFonts w:hint="default" w:ascii="Times New Roman" w:hAnsi="Times New Roman" w:eastAsia="仿宋_GB2312" w:cs="Times New Roman"/>
                <w:b/>
              </w:rPr>
            </w:pPr>
            <w:r>
              <w:rPr>
                <w:rFonts w:hint="default" w:ascii="Times New Roman" w:hAnsi="Times New Roman" w:eastAsia="仿宋_GB2312" w:cs="Times New Roman"/>
                <w:b/>
                <w:bCs/>
                <w:sz w:val="21"/>
                <w:szCs w:val="21"/>
              </w:rPr>
              <w:t>应急指挥中心建设。</w:t>
            </w:r>
            <w:r>
              <w:rPr>
                <w:rFonts w:hint="default" w:ascii="Times New Roman" w:hAnsi="Times New Roman" w:eastAsia="仿宋_GB2312" w:cs="Times New Roman"/>
                <w:sz w:val="21"/>
                <w:szCs w:val="21"/>
              </w:rPr>
              <w:t>指挥中心显示系统、调度服务器、综合接入网关、音频接入网关、录制服务器、多路传真服务器、触摸屏调度台、信息综合服务器、音响与数字会议系统、集中控制系统、综合布线系统。</w:t>
            </w:r>
          </w:p>
        </w:tc>
      </w:tr>
    </w:tbl>
    <w:p>
      <w:pPr>
        <w:pStyle w:val="55"/>
        <w:pageBreakBefore w:val="0"/>
        <w:kinsoku/>
        <w:wordWrap/>
        <w:overflowPunct/>
        <w:topLinePunct w:val="0"/>
        <w:autoSpaceDE/>
        <w:autoSpaceDN/>
        <w:bidi w:val="0"/>
        <w:adjustRightInd/>
        <w:snapToGrid/>
        <w:ind w:firstLine="560" w:firstLineChars="200"/>
        <w:textAlignment w:val="auto"/>
      </w:pPr>
      <w:r>
        <w:br w:type="page"/>
      </w:r>
    </w:p>
    <w:p>
      <w:pPr>
        <w:pStyle w:val="4"/>
        <w:pageBreakBefore w:val="0"/>
        <w:kinsoku/>
        <w:wordWrap/>
        <w:overflowPunct/>
        <w:topLinePunct w:val="0"/>
        <w:autoSpaceDE/>
        <w:autoSpaceDN/>
        <w:bidi w:val="0"/>
        <w:adjustRightInd/>
        <w:snapToGrid/>
        <w:spacing w:beforeLines="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34" w:name="_Toc60232836"/>
      <w:bookmarkStart w:id="235" w:name="_Toc14168"/>
      <w:r>
        <w:rPr>
          <w:rFonts w:hint="eastAsia" w:ascii="方正小标宋简体" w:hAnsi="方正小标宋简体" w:eastAsia="方正小标宋简体" w:cs="方正小标宋简体"/>
          <w:b w:val="0"/>
          <w:bCs w:val="0"/>
          <w:sz w:val="32"/>
          <w:szCs w:val="32"/>
        </w:rPr>
        <w:t>打好污染防治攻坚战</w:t>
      </w:r>
      <w:bookmarkEnd w:id="234"/>
      <w:bookmarkEnd w:id="235"/>
    </w:p>
    <w:p>
      <w:pPr>
        <w:pStyle w:val="5"/>
        <w:pageBreakBefore w:val="0"/>
        <w:numPr>
          <w:ilvl w:val="0"/>
          <w:numId w:val="27"/>
        </w:numPr>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36" w:name="_Toc22574"/>
      <w:r>
        <w:rPr>
          <w:rFonts w:hint="eastAsia" w:ascii="方正小标宋简体" w:hAnsi="方正小标宋简体" w:eastAsia="方正小标宋简体" w:cs="方正小标宋简体"/>
          <w:b w:val="0"/>
          <w:bCs w:val="0"/>
          <w:sz w:val="32"/>
          <w:szCs w:val="32"/>
        </w:rPr>
        <w:t>构建生态保护新格局</w:t>
      </w:r>
      <w:bookmarkEnd w:id="236"/>
    </w:p>
    <w:p>
      <w:pPr>
        <w:rPr>
          <w:rFonts w:hint="eastAsia"/>
        </w:rPr>
      </w:pP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建立国土空间规划体系。</w:t>
      </w:r>
      <w:r>
        <w:rPr>
          <w:rFonts w:hint="default" w:ascii="Times New Roman" w:hAnsi="Times New Roman" w:eastAsia="仿宋_GB2312" w:cs="Times New Roman"/>
          <w:sz w:val="32"/>
          <w:szCs w:val="32"/>
        </w:rPr>
        <w:t>对标对表国家、省、市国土空间规划纲要，推动总体规划与专项规划和详细规划有机衔接。科学划定生态保护红线、永久基本农田、城镇开发边界三条控制线，优化重大基础设施、重大生产力和公共资源布局。完善规划法规政策体系，强化规划监督实施，严格审批和监管，确保“一张蓝图干到底”。</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构筑城乡生态格局。</w:t>
      </w:r>
      <w:r>
        <w:rPr>
          <w:rFonts w:hint="default" w:ascii="Times New Roman" w:hAnsi="Times New Roman" w:eastAsia="仿宋_GB2312" w:cs="Times New Roman"/>
          <w:sz w:val="32"/>
          <w:szCs w:val="32"/>
        </w:rPr>
        <w:t>严守生态红线，按照生态功能划定生态保护红线，巩固环保督查成果。积极推进全市生态文明建设，重点构建“两区三核一廊”生态格局。加强蛟河西部水源涵养生态区、东部山地生态功能区建设，打造松花湖生态廊道，重点建设拉法山、红叶岭、白石山三大国家森林公园，构建保护与利用结合、优势与功能互补的新型生态格局。</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加强生态功能区保护。</w:t>
      </w:r>
      <w:r>
        <w:rPr>
          <w:rFonts w:hint="default" w:ascii="Times New Roman" w:hAnsi="Times New Roman" w:eastAsia="仿宋_GB2312" w:cs="Times New Roman"/>
          <w:sz w:val="32"/>
          <w:szCs w:val="32"/>
        </w:rPr>
        <w:t>加强自然保护区、森林公园、湿地公园涵养水源的管理和建设，严格监管开发、建设、保护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利用等各环节。加强重要湿地的保护、治理和修复，建立健全湿地保护管理机制，遏制湿地面积萎缩和功能退化。扎实推进水源地保护，全面落实河长制。持续推进裸露山体修复绿化工程，加强生态公益林、重点防护林保护建设，加快建设森林生态屏障，覆盖率达68%以上，提升生态系统碳汇能力。</w:t>
      </w:r>
    </w:p>
    <w:p>
      <w:pPr>
        <w:pStyle w:val="5"/>
        <w:pageBreakBefore w:val="0"/>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37" w:name="_Toc10172"/>
      <w:r>
        <w:rPr>
          <w:rFonts w:hint="eastAsia" w:ascii="方正小标宋简体" w:hAnsi="方正小标宋简体" w:eastAsia="方正小标宋简体" w:cs="方正小标宋简体"/>
          <w:b w:val="0"/>
          <w:bCs w:val="0"/>
          <w:sz w:val="32"/>
          <w:szCs w:val="32"/>
        </w:rPr>
        <w:t>加强环境综合治理</w:t>
      </w:r>
      <w:bookmarkEnd w:id="237"/>
    </w:p>
    <w:p>
      <w:pPr>
        <w:rPr>
          <w:rFonts w:hint="eastAsia"/>
        </w:rPr>
      </w:pP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bCs/>
          <w:sz w:val="32"/>
          <w:szCs w:val="32"/>
          <w:lang w:val="zh-CN"/>
        </w:rPr>
        <w:t>实施生态保护工程。</w:t>
      </w:r>
      <w:r>
        <w:rPr>
          <w:rFonts w:hint="default" w:ascii="Times New Roman" w:hAnsi="Times New Roman" w:eastAsia="仿宋_GB2312" w:cs="Times New Roman"/>
          <w:sz w:val="32"/>
          <w:szCs w:val="32"/>
          <w:lang w:val="zh-CN"/>
        </w:rPr>
        <w:t>深入实施生态保护工程，保护发展林业资源，筑牢绿色生态屏障，践行绿色发展理念，把生态文明建设与发展经济、改善民生有机结合起来。充分治理境内水域，优化城镇滨水生态空间。加强大气污染防治，彻底淘汰域内所有10蒸吨以下燃煤小锅炉，坚决遏制秸秆露天焚烧和全量化处置，秸秆综合利用率达到85%；持续开展“散乱污”企业治理，确保工业企业烟气全部达标排放，持续增加优良天数比例；提升水环境质量，常态化开展水源地保护和河道治理，建制镇污水处理设施实现全覆盖，彻底消除劣</w:t>
      </w:r>
      <w:r>
        <w:rPr>
          <w:rStyle w:val="56"/>
          <w:rFonts w:hint="default" w:ascii="Times New Roman" w:hAnsi="Times New Roman" w:eastAsia="仿宋_GB2312" w:cs="Times New Roman"/>
          <w:sz w:val="32"/>
          <w:szCs w:val="32"/>
          <w:lang w:val="zh-CN"/>
        </w:rPr>
        <w:t>Ⅴ类水体；做好</w:t>
      </w:r>
      <w:r>
        <w:rPr>
          <w:rStyle w:val="56"/>
          <w:rFonts w:hint="default" w:ascii="Times New Roman" w:hAnsi="Times New Roman" w:eastAsia="仿宋_GB2312" w:cs="Times New Roman"/>
          <w:sz w:val="32"/>
          <w:szCs w:val="32"/>
        </w:rPr>
        <w:t>“</w:t>
      </w:r>
      <w:r>
        <w:rPr>
          <w:rStyle w:val="56"/>
          <w:rFonts w:hint="default" w:ascii="Times New Roman" w:hAnsi="Times New Roman" w:eastAsia="仿宋_GB2312" w:cs="Times New Roman"/>
          <w:sz w:val="32"/>
          <w:szCs w:val="32"/>
          <w:lang w:val="zh-CN"/>
        </w:rPr>
        <w:t>三湖</w:t>
      </w:r>
      <w:r>
        <w:rPr>
          <w:rStyle w:val="56"/>
          <w:rFonts w:hint="default" w:ascii="Times New Roman" w:hAnsi="Times New Roman" w:eastAsia="仿宋_GB2312" w:cs="Times New Roman"/>
          <w:sz w:val="32"/>
          <w:szCs w:val="32"/>
        </w:rPr>
        <w:t>”</w:t>
      </w:r>
      <w:r>
        <w:rPr>
          <w:rStyle w:val="56"/>
          <w:rFonts w:hint="default" w:ascii="Times New Roman" w:hAnsi="Times New Roman" w:eastAsia="仿宋_GB2312" w:cs="Times New Roman"/>
          <w:sz w:val="32"/>
          <w:szCs w:val="32"/>
          <w:lang w:val="zh-CN"/>
        </w:rPr>
        <w:t>保护区整合优化，持续整治和巩固水淹地非法耕种行为，沿松花湖水淹地打造一批生态湿地。加强土壤环境治理，持续整治农业面源污染，畜禽粪污综合利用率达到100%，化肥农药使用量年均减少0.5%，确保饮用水源保护区的土壤环境安全；大力推行林长制，持续推进裸露山体植被恢复，加快建设国家级绿色矿山，不断巩固清收还林成果，新造林300公顷，森林覆盖率达68%以上。</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b/>
          <w:bCs/>
          <w:sz w:val="32"/>
          <w:szCs w:val="32"/>
          <w:lang w:val="zh-CN"/>
        </w:rPr>
        <w:t>实施生物多样性保护工程。</w:t>
      </w:r>
      <w:r>
        <w:rPr>
          <w:rFonts w:hint="default" w:ascii="Times New Roman" w:hAnsi="Times New Roman" w:eastAsia="仿宋_GB2312" w:cs="Times New Roman"/>
          <w:sz w:val="32"/>
          <w:szCs w:val="32"/>
          <w:lang w:val="zh-CN"/>
        </w:rPr>
        <w:t>推动构建以拉法山、红叶岭、白石山国家森林公园为主体的自然保护地体系。推进蛟河林木封育管护，保护蛟河生态多样性，积极开展古树名木普查建档、养护复壮工作。加大对蛟河林木采伐利用的监管力度，严格按照森林经营方案执行。转变资源利用方式、提高资源利用效率。树立节约集约循环利用的理念，重视资源利用的系统效率，重视在资源开发利用过程中减少对生态环境、生物多样性的损害。</w:t>
      </w:r>
    </w:p>
    <w:p>
      <w:pPr>
        <w:pStyle w:val="2"/>
        <w:rPr>
          <w:rFonts w:hint="default"/>
          <w:lang w:val="zh-CN"/>
        </w:rPr>
      </w:pPr>
    </w:p>
    <w:p>
      <w:pPr>
        <w:pStyle w:val="5"/>
        <w:pageBreakBefore w:val="0"/>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38" w:name="_Toc23956"/>
      <w:r>
        <w:rPr>
          <w:rFonts w:hint="eastAsia" w:ascii="方正小标宋简体" w:hAnsi="方正小标宋简体" w:eastAsia="方正小标宋简体" w:cs="方正小标宋简体"/>
          <w:b w:val="0"/>
          <w:bCs w:val="0"/>
          <w:sz w:val="32"/>
          <w:szCs w:val="32"/>
        </w:rPr>
        <w:t>促进经济社会绿色发展</w:t>
      </w:r>
      <w:bookmarkEnd w:id="238"/>
    </w:p>
    <w:p>
      <w:pPr>
        <w:rPr>
          <w:rFonts w:hint="eastAsia"/>
        </w:rPr>
      </w:pP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强化节能环保生产。</w:t>
      </w:r>
      <w:r>
        <w:rPr>
          <w:rFonts w:hint="default" w:ascii="Times New Roman" w:hAnsi="Times New Roman" w:eastAsia="仿宋_GB2312" w:cs="Times New Roman"/>
          <w:sz w:val="32"/>
          <w:szCs w:val="32"/>
        </w:rPr>
        <w:t>大力推进污染源头控制，加大工业减排力度，促进工业企业全面达标排放，加快实施生活、农业、交通源污染综合整治。加强工业节能改造和环保设备更新、系统能源优化等节能技术改造，扶持第三方节能服务机构发展推进工业、建筑、交通和公共机构等重点领域节能，构建蛟河特色的低碳产业体系，实现减污降碳协同效应。</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健全生态文明制度体系。</w:t>
      </w:r>
      <w:r>
        <w:rPr>
          <w:rFonts w:hint="default" w:ascii="Times New Roman" w:hAnsi="Times New Roman" w:eastAsia="仿宋_GB2312" w:cs="Times New Roman"/>
          <w:sz w:val="32"/>
          <w:szCs w:val="32"/>
        </w:rPr>
        <w:t>牢固树立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绿水青山就是金山银山</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理念，守好生态红线、环境质量底线、资源利用上线，推进空间规划</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一张图</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管理。建设现代环境治理体系，落实企业主体责任和政府监管责任，强化污染源头预防与风险防控体系，对危险化学品企业、行洪</w:t>
      </w:r>
      <w:r>
        <w:rPr>
          <w:rFonts w:hint="default" w:ascii="Times New Roman" w:hAnsi="Times New Roman" w:eastAsia="仿宋_GB2312" w:cs="Times New Roman"/>
          <w:sz w:val="32"/>
          <w:szCs w:val="32"/>
          <w:lang w:eastAsia="zh-CN"/>
        </w:rPr>
        <w:t>区</w:t>
      </w:r>
      <w:r>
        <w:rPr>
          <w:rFonts w:hint="default" w:ascii="Times New Roman" w:hAnsi="Times New Roman" w:eastAsia="仿宋_GB2312" w:cs="Times New Roman"/>
          <w:sz w:val="32"/>
          <w:szCs w:val="32"/>
        </w:rPr>
        <w:t>企业开展环境风险隐患排查整治，完善环境污染问题发现、风险预警和应急处置机制，健全生态环境突出问题全过程闭环管理长效机制。健全生态环境监测和评价制度，完善生态环境公益诉讼制度，推进生态环境综合行政执法，落实生态补偿和生态环境损害赔偿制度，实行生态环境损害责任终身追究制。</w:t>
      </w:r>
    </w:p>
    <w:p>
      <w:pPr>
        <w:pageBreakBefore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倡导绿色低碳生活。</w:t>
      </w:r>
      <w:r>
        <w:rPr>
          <w:rStyle w:val="56"/>
          <w:rFonts w:hint="default" w:ascii="Times New Roman" w:hAnsi="Times New Roman" w:eastAsia="仿宋_GB2312" w:cs="Times New Roman"/>
          <w:sz w:val="32"/>
          <w:szCs w:val="32"/>
        </w:rPr>
        <w:t>开展“无废城市”建设，推行垃圾分类和减量化、资源化，推进白色污染治理、固废治理。实施节能、节水、节地、节材行动，强化水资源刚性约束，开展绿色生活创建活动，</w:t>
      </w:r>
      <w:r>
        <w:rPr>
          <w:rFonts w:hint="default" w:ascii="Times New Roman" w:hAnsi="Times New Roman" w:eastAsia="仿宋_GB2312" w:cs="Times New Roman"/>
          <w:sz w:val="32"/>
          <w:szCs w:val="32"/>
        </w:rPr>
        <w:t>积极</w:t>
      </w:r>
      <w:r>
        <w:rPr>
          <w:rFonts w:hint="default" w:ascii="Times New Roman" w:hAnsi="Times New Roman" w:eastAsia="仿宋_GB2312" w:cs="Times New Roman"/>
          <w:sz w:val="32"/>
          <w:szCs w:val="32"/>
          <w:shd w:val="clear" w:color="auto" w:fill="FFFFFF"/>
        </w:rPr>
        <w:t>开展倡导文明健康绿色环保生活方式</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推动全社会向文明健康、绿色环保的生活方式转变，</w:t>
      </w:r>
      <w:r>
        <w:rPr>
          <w:rFonts w:hint="default" w:ascii="Times New Roman" w:hAnsi="Times New Roman" w:eastAsia="仿宋_GB2312" w:cs="Times New Roman"/>
          <w:sz w:val="32"/>
          <w:szCs w:val="32"/>
        </w:rPr>
        <w:t>构建“家庭—学校—社会”三位一体的环境教育和培训体系，提高环境宣传教育效果。</w:t>
      </w:r>
    </w:p>
    <w:p>
      <w:pPr>
        <w:pageBreakBefore w:val="0"/>
        <w:kinsoku/>
        <w:wordWrap/>
        <w:overflowPunct/>
        <w:topLinePunct w:val="0"/>
        <w:autoSpaceDE/>
        <w:autoSpaceDN/>
        <w:bidi w:val="0"/>
        <w:adjustRightInd/>
        <w:snapToGrid/>
        <w:ind w:firstLine="560" w:firstLineChars="200"/>
        <w:textAlignment w:val="auto"/>
      </w:pP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7" w:type="dxa"/>
          </w:tcPr>
          <w:p>
            <w:pPr>
              <w:pageBreakBefore w:val="0"/>
              <w:kinsoku/>
              <w:wordWrap/>
              <w:overflowPunct/>
              <w:topLinePunct w:val="0"/>
              <w:autoSpaceDE/>
              <w:autoSpaceDN/>
              <w:bidi w:val="0"/>
              <w:adjustRightInd/>
              <w:snapToGrid/>
              <w:spacing w:line="240" w:lineRule="auto"/>
              <w:ind w:firstLine="422" w:firstLineChars="200"/>
              <w:jc w:val="center"/>
              <w:textAlignment w:val="auto"/>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专栏2</w:t>
            </w:r>
            <w:r>
              <w:rPr>
                <w:rFonts w:hint="default" w:ascii="Times New Roman" w:hAnsi="Times New Roman" w:eastAsia="仿宋_GB2312" w:cs="Times New Roman"/>
                <w:b/>
                <w:bCs/>
                <w:sz w:val="21"/>
                <w:szCs w:val="21"/>
                <w:lang w:val="en-US" w:eastAsia="zh-CN"/>
              </w:rPr>
              <w:t>4</w:t>
            </w:r>
            <w:r>
              <w:rPr>
                <w:rFonts w:hint="default" w:ascii="Times New Roman" w:hAnsi="Times New Roman" w:eastAsia="仿宋_GB2312" w:cs="Times New Roman"/>
                <w:b/>
                <w:bCs/>
                <w:sz w:val="21"/>
                <w:szCs w:val="21"/>
              </w:rPr>
              <w:t xml:space="preserve"> 生态保护重点项目</w:t>
            </w:r>
          </w:p>
          <w:p>
            <w:pPr>
              <w:pageBreakBefore w:val="0"/>
              <w:kinsoku/>
              <w:wordWrap/>
              <w:overflowPunct/>
              <w:topLinePunct w:val="0"/>
              <w:autoSpaceDE/>
              <w:autoSpaceDN/>
              <w:bidi w:val="0"/>
              <w:adjustRightInd/>
              <w:snapToGrid/>
              <w:spacing w:line="400" w:lineRule="exact"/>
              <w:ind w:firstLine="422" w:firstLineChars="200"/>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水治理。</w:t>
            </w:r>
            <w:r>
              <w:rPr>
                <w:rFonts w:hint="default" w:ascii="Times New Roman" w:hAnsi="Times New Roman" w:eastAsia="仿宋_GB2312" w:cs="Times New Roman"/>
                <w:b w:val="0"/>
                <w:bCs/>
                <w:sz w:val="21"/>
                <w:szCs w:val="21"/>
                <w:lang w:eastAsia="zh-CN"/>
              </w:rPr>
              <w:t>推进</w:t>
            </w:r>
            <w:r>
              <w:rPr>
                <w:rFonts w:hint="default" w:ascii="Times New Roman" w:hAnsi="Times New Roman" w:eastAsia="仿宋_GB2312" w:cs="Times New Roman"/>
                <w:b w:val="0"/>
                <w:bCs/>
                <w:sz w:val="21"/>
                <w:szCs w:val="21"/>
              </w:rPr>
              <w:t>蛟河</w:t>
            </w:r>
            <w:r>
              <w:rPr>
                <w:rFonts w:hint="default" w:ascii="Times New Roman" w:hAnsi="Times New Roman" w:eastAsia="仿宋_GB2312" w:cs="Times New Roman"/>
                <w:sz w:val="21"/>
                <w:szCs w:val="21"/>
              </w:rPr>
              <w:t>市团山子饮用水水源地生态治理工程、蛟河市松花湖上游水生态环境治理工程、蛟河市中小河流治理、蛟河市城区水生态修复工程、河南街松花江流域河流河道生态整治、松江镇松花江流域河流河道生态整治工程、漂河镇松花江流域河流河道生态整治工程、庆岭镇松花江流域河流河道生态整治工程、松花江流域可持续发展工程</w:t>
            </w:r>
            <w:r>
              <w:rPr>
                <w:rFonts w:hint="default" w:ascii="Times New Roman" w:hAnsi="Times New Roman" w:eastAsia="仿宋_GB2312" w:cs="Times New Roman"/>
                <w:sz w:val="21"/>
                <w:szCs w:val="21"/>
                <w:lang w:eastAsia="zh-CN"/>
              </w:rPr>
              <w:t>等项目</w:t>
            </w:r>
            <w:r>
              <w:rPr>
                <w:rFonts w:hint="default" w:ascii="Times New Roman" w:hAnsi="Times New Roman" w:eastAsia="仿宋_GB2312" w:cs="Times New Roman"/>
                <w:sz w:val="21"/>
                <w:szCs w:val="21"/>
              </w:rPr>
              <w:t>。</w:t>
            </w:r>
          </w:p>
          <w:p>
            <w:pPr>
              <w:pageBreakBefore w:val="0"/>
              <w:kinsoku/>
              <w:wordWrap/>
              <w:overflowPunct/>
              <w:topLinePunct w:val="0"/>
              <w:autoSpaceDE/>
              <w:autoSpaceDN/>
              <w:bidi w:val="0"/>
              <w:adjustRightInd/>
              <w:snapToGrid/>
              <w:spacing w:line="400" w:lineRule="exact"/>
              <w:ind w:firstLine="422" w:firstLineChars="20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河流拦蓄林。</w:t>
            </w:r>
            <w:r>
              <w:rPr>
                <w:rFonts w:hint="default" w:ascii="Times New Roman" w:hAnsi="Times New Roman" w:eastAsia="仿宋_GB2312" w:cs="Times New Roman"/>
                <w:sz w:val="21"/>
                <w:szCs w:val="21"/>
              </w:rPr>
              <w:t>蛟河市200平方公里河流植被拦蓄林项目。</w:t>
            </w:r>
          </w:p>
          <w:p>
            <w:pPr>
              <w:pageBreakBefore w:val="0"/>
              <w:kinsoku/>
              <w:wordWrap/>
              <w:overflowPunct/>
              <w:topLinePunct w:val="0"/>
              <w:autoSpaceDE/>
              <w:autoSpaceDN/>
              <w:bidi w:val="0"/>
              <w:adjustRightInd/>
              <w:snapToGrid/>
              <w:spacing w:line="400" w:lineRule="exact"/>
              <w:ind w:firstLine="422" w:firstLineChars="200"/>
              <w:jc w:val="left"/>
              <w:textAlignment w:val="auto"/>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畜禽粪污处理利用。</w:t>
            </w:r>
            <w:r>
              <w:rPr>
                <w:rFonts w:hint="default" w:ascii="Times New Roman" w:hAnsi="Times New Roman" w:eastAsia="仿宋_GB2312" w:cs="Times New Roman"/>
                <w:sz w:val="21"/>
                <w:szCs w:val="21"/>
              </w:rPr>
              <w:t>畜禽粪污处理利用设施2处。</w:t>
            </w:r>
          </w:p>
          <w:p>
            <w:pPr>
              <w:pageBreakBefore w:val="0"/>
              <w:kinsoku/>
              <w:wordWrap/>
              <w:overflowPunct/>
              <w:topLinePunct w:val="0"/>
              <w:autoSpaceDE/>
              <w:autoSpaceDN/>
              <w:bidi w:val="0"/>
              <w:adjustRightInd/>
              <w:snapToGrid/>
              <w:spacing w:line="400" w:lineRule="exact"/>
              <w:ind w:firstLine="422" w:firstLineChars="200"/>
              <w:jc w:val="left"/>
              <w:textAlignment w:val="auto"/>
              <w:rPr>
                <w:rFonts w:hint="default" w:ascii="Times New Roman" w:hAnsi="Times New Roman" w:eastAsia="仿宋_GB2312" w:cs="Times New Roman"/>
                <w:b/>
              </w:rPr>
            </w:pPr>
            <w:r>
              <w:rPr>
                <w:rFonts w:hint="default" w:ascii="Times New Roman" w:hAnsi="Times New Roman" w:eastAsia="仿宋_GB2312" w:cs="Times New Roman"/>
                <w:b/>
                <w:sz w:val="21"/>
                <w:szCs w:val="21"/>
              </w:rPr>
              <w:t>野生动植物生态保护廊道建设。</w:t>
            </w:r>
            <w:r>
              <w:rPr>
                <w:rFonts w:hint="default" w:ascii="Times New Roman" w:hAnsi="Times New Roman" w:eastAsia="仿宋_GB2312" w:cs="Times New Roman"/>
                <w:sz w:val="21"/>
                <w:szCs w:val="21"/>
              </w:rPr>
              <w:t>建设野生动物救助中心，安装红外摄像仪等装置检测监控野生动物，提高连通性，加大管护力度。</w:t>
            </w:r>
          </w:p>
        </w:tc>
      </w:tr>
    </w:tbl>
    <w:p>
      <w:pPr>
        <w:pStyle w:val="55"/>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lang w:val="zh-CN"/>
        </w:rPr>
      </w:pPr>
      <w:bookmarkStart w:id="239" w:name="_Toc55314954"/>
      <w:bookmarkStart w:id="240" w:name="_Toc54275602"/>
      <w:r>
        <w:rPr>
          <w:rFonts w:hint="default" w:ascii="Times New Roman" w:hAnsi="Times New Roman" w:eastAsia="仿宋_GB2312" w:cs="Times New Roman"/>
          <w:sz w:val="32"/>
          <w:szCs w:val="32"/>
          <w:lang w:val="zh-CN"/>
        </w:rPr>
        <w:br w:type="page"/>
      </w:r>
    </w:p>
    <w:p>
      <w:pPr>
        <w:pStyle w:val="4"/>
        <w:pageBreakBefore w:val="0"/>
        <w:widowControl w:val="0"/>
        <w:kinsoku/>
        <w:wordWrap/>
        <w:overflowPunct/>
        <w:topLinePunct w:val="0"/>
        <w:autoSpaceDE/>
        <w:autoSpaceDN/>
        <w:bidi w:val="0"/>
        <w:adjustRightInd/>
        <w:snapToGrid/>
        <w:spacing w:beforeLines="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lang w:val="zh-CN"/>
        </w:rPr>
      </w:pPr>
      <w:bookmarkStart w:id="241" w:name="_Toc60232837"/>
      <w:bookmarkStart w:id="242" w:name="_Toc24179"/>
      <w:r>
        <w:rPr>
          <w:rFonts w:hint="eastAsia" w:ascii="方正小标宋简体" w:hAnsi="方正小标宋简体" w:eastAsia="方正小标宋简体" w:cs="方正小标宋简体"/>
          <w:b w:val="0"/>
          <w:bCs w:val="0"/>
          <w:sz w:val="32"/>
          <w:szCs w:val="32"/>
          <w:lang w:val="zh-CN"/>
        </w:rPr>
        <w:t>保障规划全面实施</w:t>
      </w:r>
      <w:bookmarkEnd w:id="239"/>
      <w:bookmarkEnd w:id="240"/>
      <w:bookmarkEnd w:id="241"/>
      <w:bookmarkEnd w:id="242"/>
    </w:p>
    <w:p>
      <w:pPr>
        <w:pStyle w:val="5"/>
        <w:pageBreakBefore w:val="0"/>
        <w:widowControl w:val="0"/>
        <w:numPr>
          <w:ilvl w:val="0"/>
          <w:numId w:val="28"/>
        </w:numPr>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43" w:name="_Toc1236"/>
      <w:bookmarkStart w:id="244" w:name="_Toc55314955"/>
      <w:r>
        <w:rPr>
          <w:rFonts w:hint="eastAsia" w:ascii="方正小标宋简体" w:hAnsi="方正小标宋简体" w:eastAsia="方正小标宋简体" w:cs="方正小标宋简体"/>
          <w:b w:val="0"/>
          <w:bCs w:val="0"/>
          <w:sz w:val="32"/>
          <w:szCs w:val="32"/>
        </w:rPr>
        <w:t>切实加强党的全面领导</w:t>
      </w:r>
      <w:bookmarkEnd w:id="243"/>
    </w:p>
    <w:p>
      <w:pPr>
        <w:rPr>
          <w:rFonts w:hint="eastAsia"/>
        </w:rPr>
      </w:pPr>
    </w:p>
    <w:p>
      <w:pPr>
        <w:pStyle w:val="55"/>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坚持用习近平新时代中国特色社会主义思想武装头脑、指导实践、推动工作，引导广大党员干部坚定理想信念，自觉践行“不忘初心、牢记使命”终身课题。全面落实党的领导制度，贯彻落实党把方向、谋大局、定政策、促改革的要求，增强“四个意识”、坚定“四个自信”、坚决做到“两个维护”，完善上下贯通执行有力的组织体系。坚持党的全面领导，坚持党对一切工作的领导，坚持物质文明、精神文明和生态文明一起抓，坚持和完善民主法制制度。落实全面从严治党主体责任、监督责任，保持严的主基调，提高党的建设质量。全面贯彻新时代党的组织路线，配优建强领导班子，用好管好干部队伍，提高抓改革、促发展、促稳定水平和专业化能力。深化基层党建制度创新、实践创新，坚持干部驻村联户、驻村第一书记制度，推动城乡基层党组织建设全面进步、全面过硬。加强对敢担当善作为干部的激励保护，全面落实“三个区分开来”。锲而不舍落实中央八项规定精神，坚持不懈纠正“四风”，一体推进不敢腐</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不能腐、不想腐，深化党风廉政建设和反腐败斗争，加强政治监督，营造风清气正的良好政治生态。</w:t>
      </w:r>
    </w:p>
    <w:p>
      <w:pPr>
        <w:pStyle w:val="55"/>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p>
    <w:p>
      <w:pPr>
        <w:pStyle w:val="5"/>
        <w:pageBreakBefore w:val="0"/>
        <w:widowControl w:val="0"/>
        <w:numPr>
          <w:ilvl w:val="0"/>
          <w:numId w:val="28"/>
        </w:numPr>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45" w:name="_Toc9768"/>
      <w:r>
        <w:rPr>
          <w:rFonts w:hint="eastAsia" w:ascii="方正小标宋简体" w:hAnsi="方正小标宋简体" w:eastAsia="方正小标宋简体" w:cs="方正小标宋简体"/>
          <w:b w:val="0"/>
          <w:bCs w:val="0"/>
          <w:sz w:val="32"/>
          <w:szCs w:val="32"/>
        </w:rPr>
        <w:t>充分调动一切积极因素</w:t>
      </w:r>
      <w:bookmarkEnd w:id="245"/>
    </w:p>
    <w:p>
      <w:pPr>
        <w:rPr>
          <w:rFonts w:hint="eastAsia"/>
        </w:rPr>
      </w:pPr>
    </w:p>
    <w:p>
      <w:pPr>
        <w:pStyle w:val="55"/>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支持人大及其常委会依法行使职权，加强对“一府一委两院”的监督，保证人民依法通过各种途径和形式参与经济社会发展和管理。充分发挥政协作为协商民主重要渠道和专门协商机构作用，加强经济社会发展重大问题和涉及群众切身利益问题的协商。发挥工会、共青团、妇联等人民团体作用，凝聚全社会推进改革发展、维护社会和谐稳定的共识和力量。做好新形势下宗教、侨务工作，发挥工商联、无党派人士和民族宗教界人士作用，巩固和发展最广泛的爱国统一战线，最大限度地凝聚共识、凝聚人心、凝聚智慧、凝聚力量。</w:t>
      </w:r>
    </w:p>
    <w:p>
      <w:pPr>
        <w:pStyle w:val="55"/>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sz w:val="32"/>
          <w:szCs w:val="32"/>
        </w:rPr>
      </w:pPr>
    </w:p>
    <w:p>
      <w:pPr>
        <w:pStyle w:val="5"/>
        <w:pageBreakBefore w:val="0"/>
        <w:widowControl w:val="0"/>
        <w:numPr>
          <w:ilvl w:val="0"/>
          <w:numId w:val="28"/>
        </w:numPr>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lang w:val="zh-CN"/>
        </w:rPr>
      </w:pPr>
      <w:bookmarkStart w:id="246" w:name="_Toc5746"/>
      <w:r>
        <w:rPr>
          <w:rFonts w:hint="eastAsia" w:ascii="方正小标宋简体" w:hAnsi="方正小标宋简体" w:eastAsia="方正小标宋简体" w:cs="方正小标宋简体"/>
          <w:b w:val="0"/>
          <w:bCs w:val="0"/>
          <w:sz w:val="32"/>
          <w:szCs w:val="32"/>
          <w:lang w:val="zh-CN"/>
        </w:rPr>
        <w:t>强化要素保障</w:t>
      </w:r>
      <w:bookmarkEnd w:id="244"/>
      <w:bookmarkEnd w:id="246"/>
    </w:p>
    <w:p>
      <w:pPr>
        <w:rPr>
          <w:rFonts w:hint="eastAsia"/>
          <w:lang w:val="zh-CN"/>
        </w:rPr>
      </w:pP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加强政策保障。</w:t>
      </w:r>
      <w:r>
        <w:rPr>
          <w:rFonts w:hint="default" w:ascii="Times New Roman" w:hAnsi="Times New Roman" w:eastAsia="仿宋_GB2312" w:cs="Times New Roman"/>
          <w:sz w:val="32"/>
          <w:szCs w:val="32"/>
        </w:rPr>
        <w:t>围绕“十四五”产业结构，发挥政策导向作用，</w:t>
      </w:r>
      <w:r>
        <w:rPr>
          <w:rFonts w:hint="default" w:ascii="Times New Roman" w:hAnsi="Times New Roman" w:eastAsia="仿宋_GB2312" w:cs="Times New Roman"/>
          <w:sz w:val="32"/>
          <w:szCs w:val="32"/>
          <w:lang w:val="zh-CN"/>
        </w:rPr>
        <w:t>引导社会资源向医药健康产业、新能源新材料产业、旅游商贸产业、长白山特产品加工业四大经济发展动力源产业，及现代特色农业、循环石材产业两大特色优势产业配置。加强公共财政体系建设力度，调整优化公共财政支出结构。积极争取国家和省市优惠政策及扶持资金，加强在重点工程建设、重点示范试点和财税金融、土地规划、社会保障等方面的政策保障力度。</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rPr>
        <w:t>加强资金保障。</w:t>
      </w:r>
      <w:r>
        <w:rPr>
          <w:rFonts w:hint="default" w:ascii="Times New Roman" w:hAnsi="Times New Roman" w:eastAsia="仿宋_GB2312" w:cs="Times New Roman"/>
          <w:sz w:val="32"/>
          <w:szCs w:val="32"/>
          <w:lang w:val="zh-CN"/>
        </w:rPr>
        <w:t>整合各类财政专项资金，精准保障项目建设需要，发挥投资调节作用，不断优化在产业发展、城市建设等领域的投入。</w:t>
      </w:r>
      <w:r>
        <w:rPr>
          <w:rFonts w:hint="default" w:ascii="Times New Roman" w:hAnsi="Times New Roman" w:eastAsia="仿宋_GB2312" w:cs="Times New Roman"/>
          <w:sz w:val="32"/>
          <w:szCs w:val="32"/>
        </w:rPr>
        <w:t>统筹安排各类预算投资，充分发挥政府投入的导向作用，多渠道、多层次筹措资金，进一步设立各类引导基金，吸引更多的金融资本、民间资本</w:t>
      </w:r>
      <w:r>
        <w:rPr>
          <w:rFonts w:hint="default" w:ascii="Times New Roman" w:hAnsi="Times New Roman" w:eastAsia="仿宋_GB2312" w:cs="Times New Roman"/>
          <w:sz w:val="32"/>
          <w:szCs w:val="32"/>
          <w:lang w:val="zh-CN"/>
        </w:rPr>
        <w:t>进入产业投资领域。</w:t>
      </w:r>
      <w:r>
        <w:rPr>
          <w:rFonts w:hint="default" w:ascii="Times New Roman" w:hAnsi="Times New Roman" w:eastAsia="仿宋_GB2312" w:cs="Times New Roman"/>
          <w:sz w:val="32"/>
          <w:szCs w:val="32"/>
          <w:shd w:val="clear" w:color="auto" w:fill="FFFFFF"/>
        </w:rPr>
        <w:t>认真落实国家已出台的一系列金融支持政策，全面满足重点发展领域金融需要。</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shd w:val="clear" w:color="auto" w:fill="FFFFFF"/>
        </w:rPr>
        <w:t>加快发展绿色金融。</w:t>
      </w:r>
      <w:r>
        <w:rPr>
          <w:rFonts w:hint="default" w:ascii="Times New Roman" w:hAnsi="Times New Roman" w:eastAsia="仿宋_GB2312" w:cs="Times New Roman"/>
          <w:sz w:val="32"/>
          <w:szCs w:val="32"/>
          <w:shd w:val="clear" w:color="auto" w:fill="FFFFFF"/>
        </w:rPr>
        <w:t>深入推进绿色金融标准化工程，形成对债券、信贷、股票、基金、保险等领域具有普遍适用性的指引，鼓励银行构建标准增信融资体系，将标准水平纳入全市企业信用评价指标和贷款发放参考因素，支持资金流向经济发展最需要的中小企业、高新技术企业等新动能领域，加强对中小微企业、农村金融服务。构建绿色金融合作平台，加强保险公司、保险资产管理公司与全市企业合作，充分利用多种融资渠道和融资工具，推动企业利用多层次资本市场融资。</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加强用地保障。</w:t>
      </w:r>
      <w:r>
        <w:rPr>
          <w:rFonts w:hint="default" w:ascii="Times New Roman" w:hAnsi="Times New Roman" w:eastAsia="仿宋_GB2312" w:cs="Times New Roman"/>
          <w:sz w:val="32"/>
          <w:szCs w:val="32"/>
        </w:rPr>
        <w:t>统筹协调全市各类用地指标，加强国土空间规划控制和用地政策引导，优化城乡用地结构和布局，科学合理确定新增建设用地报批计划，优先保障重大项目的用地需求，提高供地率。加大对低效闲置土地清理处置力度，逐步分解盘活存量用地指标任务，深挖建设用地潜力。进一步强化对基本农田的保护，健全耕地保护体系。</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加强项目保障。</w:t>
      </w:r>
      <w:r>
        <w:rPr>
          <w:rFonts w:hint="default" w:ascii="Times New Roman" w:hAnsi="Times New Roman" w:eastAsia="仿宋_GB2312" w:cs="Times New Roman"/>
          <w:sz w:val="32"/>
          <w:szCs w:val="32"/>
        </w:rPr>
        <w:t>坚持项目带动战略，发挥项目在调结构、稳投资、促发展、惠民生</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方面的巨大推动作用。紧紧围绕国家宏观政策和产业政策导向，积极谋划、实施一批“761”新基建项目。加快实施项目引领战略，积极推动项目落地，围绕产业转型升级、新型城市化建设、生态环境保护、社会民生改善等方面，不断提升项目质量，优化建设项目载体，发挥好优质项目的示范作用。注重加大服务业、新兴产业和传统产业技术改造升级投入，推进规划顺利实施。</w:t>
      </w:r>
    </w:p>
    <w:p>
      <w:pPr>
        <w:pStyle w:val="2"/>
        <w:rPr>
          <w:rFonts w:hint="default"/>
        </w:rPr>
      </w:pPr>
    </w:p>
    <w:p>
      <w:pPr>
        <w:pStyle w:val="5"/>
        <w:pageBreakBefore w:val="0"/>
        <w:widowControl w:val="0"/>
        <w:kinsoku/>
        <w:wordWrap/>
        <w:overflowPunct/>
        <w:topLinePunct w:val="0"/>
        <w:autoSpaceDE/>
        <w:autoSpaceDN/>
        <w:bidi w:val="0"/>
        <w:adjustRightInd/>
        <w:snapToGrid/>
        <w:spacing w:before="0" w:beforeLines="0" w:after="0" w:afterLines="0" w:line="560" w:lineRule="exact"/>
        <w:ind w:left="0" w:firstLine="640" w:firstLineChars="200"/>
        <w:textAlignment w:val="auto"/>
        <w:rPr>
          <w:rFonts w:hint="eastAsia" w:ascii="方正小标宋简体" w:hAnsi="方正小标宋简体" w:eastAsia="方正小标宋简体" w:cs="方正小标宋简体"/>
          <w:b w:val="0"/>
          <w:bCs w:val="0"/>
          <w:sz w:val="32"/>
          <w:szCs w:val="32"/>
        </w:rPr>
      </w:pPr>
      <w:bookmarkStart w:id="247" w:name="_Toc21426"/>
      <w:bookmarkStart w:id="248" w:name="_Toc55314956"/>
      <w:r>
        <w:rPr>
          <w:rFonts w:hint="eastAsia" w:ascii="方正小标宋简体" w:hAnsi="方正小标宋简体" w:eastAsia="方正小标宋简体" w:cs="方正小标宋简体"/>
          <w:b w:val="0"/>
          <w:bCs w:val="0"/>
          <w:sz w:val="32"/>
          <w:szCs w:val="32"/>
        </w:rPr>
        <w:t>做好规划组织落实</w:t>
      </w:r>
      <w:bookmarkEnd w:id="247"/>
      <w:bookmarkEnd w:id="248"/>
    </w:p>
    <w:p>
      <w:pPr>
        <w:rPr>
          <w:rFonts w:hint="eastAsia"/>
        </w:rPr>
      </w:pP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完善规划实施体系。</w:t>
      </w:r>
      <w:r>
        <w:rPr>
          <w:rFonts w:hint="default" w:ascii="Times New Roman" w:hAnsi="Times New Roman" w:eastAsia="仿宋_GB2312" w:cs="Times New Roman"/>
          <w:sz w:val="32"/>
          <w:szCs w:val="32"/>
          <w:shd w:val="clear" w:color="auto" w:fill="FFFFFF"/>
        </w:rPr>
        <w:t>以国民经济和社会发展总体规划为统领，以各专项规划为支撑，形成定位清晰、功能互补、统一衔接的规划体系，加强各部门规划与总体规划的衔接协调，完善科学化、民主化、规范化的编制程序，健全责任明确、分类实施、有效监督的实施机制。</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明确规划实施责任。</w:t>
      </w:r>
      <w:r>
        <w:rPr>
          <w:rFonts w:hint="default" w:ascii="Times New Roman" w:hAnsi="Times New Roman" w:eastAsia="仿宋_GB2312" w:cs="Times New Roman"/>
          <w:sz w:val="32"/>
          <w:szCs w:val="32"/>
          <w:shd w:val="clear" w:color="auto" w:fill="FFFFFF"/>
        </w:rPr>
        <w:t>市政府成立规划实施领导小组，协调解决规划实施重大问题，监督检查重大事项进展和落实情况。各部门、各乡镇在实际工作中，要认真贯彻落实本规划，组织好各级各类规划的实施。规划中确定的目标任务，要按照分级管理的原则，列入部门、乡镇年度工作计划，制定年度重大事项实施方案并组织落实，每年需要重点推进的重大事项，要落实到牵头责任单位，确保规划目标任务有计划、有步骤地完成。</w:t>
      </w:r>
    </w:p>
    <w:p>
      <w:pPr>
        <w:pageBreakBefore w:val="0"/>
        <w:widowControl w:val="0"/>
        <w:kinsoku/>
        <w:wordWrap/>
        <w:overflowPunct/>
        <w:topLinePunct w:val="0"/>
        <w:autoSpaceDE/>
        <w:autoSpaceDN/>
        <w:bidi w:val="0"/>
        <w:adjustRightInd/>
        <w:snapToGrid/>
        <w:spacing w:line="560" w:lineRule="exact"/>
        <w:ind w:left="0" w:firstLine="643"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b/>
          <w:bCs/>
          <w:sz w:val="32"/>
          <w:szCs w:val="32"/>
        </w:rPr>
        <w:t>健全监测评估考核。</w:t>
      </w:r>
      <w:r>
        <w:rPr>
          <w:rFonts w:hint="default" w:ascii="Times New Roman" w:hAnsi="Times New Roman" w:eastAsia="仿宋_GB2312" w:cs="Times New Roman"/>
          <w:sz w:val="32"/>
          <w:szCs w:val="32"/>
          <w:shd w:val="clear" w:color="auto" w:fill="FFFFFF"/>
        </w:rPr>
        <w:t>依据规划中提出的不同指标的属性，建立规划指标评价与实施机制，实行年度巡查报告制度、规划中期评估制度。加大对规划的宣传力度，增加规划的透明度和民主参与度，鼓励社会各界广泛参与。及时听取人大代表、政协委员的意见，并广泛吸纳公众意见，向社会公开相关信息，根据经济运行状况及发展情况，按程序对规划进行必要调整。</w:t>
      </w: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pStyle w:val="2"/>
        <w:rPr>
          <w:rFonts w:hint="default" w:ascii="Times New Roman" w:hAnsi="Times New Roman" w:eastAsia="仿宋_GB2312" w:cs="Times New Roman"/>
          <w:sz w:val="32"/>
          <w:szCs w:val="32"/>
          <w:shd w:val="clear" w:color="auto" w:fill="FFFFFF"/>
        </w:rPr>
      </w:pPr>
    </w:p>
    <w:p>
      <w:pPr>
        <w:tabs>
          <w:tab w:val="left" w:pos="7584"/>
        </w:tabs>
        <w:adjustRightInd w:val="0"/>
        <w:snapToGrid w:val="0"/>
        <w:spacing w:line="560" w:lineRule="exact"/>
        <w:ind w:firstLine="96" w:firstLineChars="30"/>
        <w:jc w:val="center"/>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pStyle w:val="2"/>
        <w:rPr>
          <w:rFonts w:hint="eastAsia" w:eastAsia="仿宋_GB2312"/>
          <w:snapToGrid w:val="0"/>
          <w:kern w:val="0"/>
          <w:sz w:val="32"/>
          <w:szCs w:val="32"/>
        </w:rPr>
      </w:pPr>
    </w:p>
    <w:p>
      <w:pPr>
        <w:adjustRightInd w:val="0"/>
        <w:snapToGrid w:val="0"/>
        <w:spacing w:line="560" w:lineRule="exact"/>
        <w:ind w:left="0" w:leftChars="0" w:firstLine="0" w:firstLineChars="0"/>
        <w:rPr>
          <w:rFonts w:hint="default" w:ascii="Times New Roman" w:hAnsi="Times New Roman" w:eastAsia="仿宋_GB2312" w:cs="Times New Roman"/>
          <w:sz w:val="32"/>
          <w:szCs w:val="32"/>
          <w:shd w:val="clear" w:color="auto" w:fill="FFFFFF"/>
        </w:rPr>
      </w:pPr>
      <w:r>
        <w:rPr>
          <w:rFonts w:eastAsia="仿宋_GB2312"/>
          <w:sz w:val="28"/>
          <w:szCs w:val="28"/>
        </w:rPr>
        <mc:AlternateContent>
          <mc:Choice Requires="wpg">
            <w:drawing>
              <wp:anchor distT="0" distB="0" distL="114300" distR="114300" simplePos="0" relativeHeight="251664384" behindDoc="0" locked="0" layoutInCell="1" allowOverlap="1">
                <wp:simplePos x="0" y="0"/>
                <wp:positionH relativeFrom="column">
                  <wp:posOffset>-131445</wp:posOffset>
                </wp:positionH>
                <wp:positionV relativeFrom="paragraph">
                  <wp:posOffset>29845</wp:posOffset>
                </wp:positionV>
                <wp:extent cx="5614035" cy="418465"/>
                <wp:effectExtent l="0" t="4445" r="5715" b="15240"/>
                <wp:wrapNone/>
                <wp:docPr id="17" name="组合 17"/>
                <wp:cNvGraphicFramePr/>
                <a:graphic xmlns:a="http://schemas.openxmlformats.org/drawingml/2006/main">
                  <a:graphicData uri="http://schemas.microsoft.com/office/word/2010/wordprocessingGroup">
                    <wpg:wgp>
                      <wpg:cNvGrpSpPr/>
                      <wpg:grpSpPr>
                        <a:xfrm>
                          <a:off x="0" y="0"/>
                          <a:ext cx="5614035" cy="418465"/>
                          <a:chOff x="1464" y="11105"/>
                          <a:chExt cx="8841" cy="659"/>
                        </a:xfrm>
                        <a:effectLst/>
                      </wpg:grpSpPr>
                      <wps:wsp>
                        <wps:cNvPr id="13" name="直接连接符 13"/>
                        <wps:cNvCnPr/>
                        <wps:spPr>
                          <a:xfrm>
                            <a:off x="1485" y="11105"/>
                            <a:ext cx="8820" cy="0"/>
                          </a:xfrm>
                          <a:prstGeom prst="line">
                            <a:avLst/>
                          </a:prstGeom>
                          <a:ln w="9525" cap="flat" cmpd="sng">
                            <a:solidFill>
                              <a:srgbClr val="000000"/>
                            </a:solidFill>
                            <a:prstDash val="solid"/>
                            <a:headEnd type="none" w="med" len="med"/>
                            <a:tailEnd type="none" w="med" len="med"/>
                          </a:ln>
                          <a:effectLst/>
                        </wps:spPr>
                        <wps:bodyPr upright="1"/>
                      </wps:wsp>
                      <wps:wsp>
                        <wps:cNvPr id="15" name="直接连接符 15"/>
                        <wps:cNvCnPr/>
                        <wps:spPr>
                          <a:xfrm>
                            <a:off x="1464" y="11764"/>
                            <a:ext cx="8820" cy="0"/>
                          </a:xfrm>
                          <a:prstGeom prst="line">
                            <a:avLst/>
                          </a:prstGeom>
                          <a:ln w="9525" cap="flat" cmpd="sng">
                            <a:solidFill>
                              <a:srgbClr val="000000"/>
                            </a:solidFill>
                            <a:prstDash val="solid"/>
                            <a:headEnd type="none" w="med" len="med"/>
                            <a:tailEnd type="none" w="med" len="med"/>
                          </a:ln>
                          <a:effectLst/>
                        </wps:spPr>
                        <wps:bodyPr upright="1"/>
                      </wps:wsp>
                    </wpg:wgp>
                  </a:graphicData>
                </a:graphic>
              </wp:anchor>
            </w:drawing>
          </mc:Choice>
          <mc:Fallback>
            <w:pict>
              <v:group id="_x0000_s1026" o:spid="_x0000_s1026" o:spt="203" style="position:absolute;left:0pt;margin-left:-10.35pt;margin-top:2.35pt;height:32.95pt;width:442.05pt;z-index:251664384;mso-width-relative:page;mso-height-relative:page;" coordorigin="1464,11105" coordsize="8841,659" o:gfxdata="UEsDBAoAAAAAAIdO4kAAAAAAAAAAAAAAAAAEAAAAZHJzL1BLAwQUAAAACACHTuJA4U2Q9tkAAAAI&#10;AQAADwAAAGRycy9kb3ducmV2LnhtbE2PQWvCQBCF74X+h2UKvelu1EZJM5EibU9SqBZKb2t2TILZ&#10;3ZBdE/33nZ7q6TG8x3vf5OuLbcVAfWi8Q0imCgS50pvGVQhf+7fJCkSI2hndekcIVwqwLu7vcp0Z&#10;P7pPGnaxElziQqYR6hi7TMpQ1mR1mPqOHHtH31sd+ewraXo9crlt5UypVFrdOF6odUebmsrT7mwR&#10;3kc9vsyT12F7Om6uP/unj+9tQoiPD4l6BhHpEv/D8IfP6FAw08GfnQmiRZjM1JKjCAsW9lfpfAHi&#10;gLBUKcgil7cPFL9QSwMEFAAAAAgAh07iQPpRzw+eAgAAUgcAAA4AAABkcnMvZTJvRG9jLnhtbO2V&#10;v3PTMBTHd+74H3TaqePUSV1fnQ5N24WD3hX+AMWWbd3p10lKnOwMTBw7d2wwMbIx8NdA+TN4kh23&#10;DR1ywDGRwZElvaf3Pu+r55PTteBoRY1lSuY4PhhhRGWhSibrHL98cfEkxcg6IkvClaQ53lCLT2eP&#10;H520OqNj1SheUoPAibRZq3PcOKezKLJFQwWxB0pTCYuVMoI4eDV1VBrSgnfBo/FoNI1aZUptVEGt&#10;hdl5t4h7j2Yfh6qqWEHnqlgKKl3n1VBOHKRkG6YtnoVoq4oW7nlVWeoQzzFk6sITDoHxwj+j2QnJ&#10;akN0w4o+BLJPCDs5CcIkHDq4mhNH0NKwX1wJVhhlVeUOCiWiLpFABLKIRztsLo1a6pBLnbW1HqBD&#10;oXao/7bb4tnqyiBWghKOMJJEQMVvvrz69vY1ggmg0+o6g02XRl/rK9NP1N2bT3hdGeH/IRW0Dlw3&#10;A1e6dqiAyck0TkaHE4wKWEviNJlOOvBFA9XxZnEyTTCC1TiOR8PieW+fpkncGU8nx94yuj2XhiI/&#10;tc5P+2CH2FoNArW31OyfUbtuiKahGNYD2VI7HKi9+/z9zYcfX9/D8+bTRxQfdvjC7jPZs7OZBYwP&#10;gIuTFADdJ7Dll6Zj0KuHFwR7J3ttrLukSiA/yDFn0odIMrLqiZBsu8VPc4naHB9Pxr4WBC5vBZcG&#10;hkKDAKysg61VnJUXjHNvYU29OOMGrYi/QOHXF+DeNn/InNim2xeWugo3lJTnskRuo0FZEjoK9iEI&#10;WmLEKTQgP4LSkcwRxvfZCdlz6Q12Kr8l68u+UOUGCrTUhtUNcIlDzL0gvKb/hTKAcX+fdpURBO6D&#10;AB3to4zhbhzBKMD6r4wHNPQXlBE6CLTa0GL6z4Lv5XffQ5+5/RTO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DhTZD22QAAAAgBAAAPAAAAAAAAAAEAIAAAACIAAABkcnMvZG93bnJldi54bWxQSwEC&#10;FAAUAAAACACHTuJA+lHPD54CAABSBwAADgAAAAAAAAABACAAAAAoAQAAZHJzL2Uyb0RvYy54bWxQ&#10;SwUGAAAAAAYABgBZAQAAOAYAAAAA&#10;">
                <o:lock v:ext="edit" aspectratio="f"/>
                <v:line id="_x0000_s1026" o:spid="_x0000_s1026" o:spt="20" style="position:absolute;left:1485;top:11105;height:0;width:8820;" filled="f" stroked="t" coordsize="21600,21600" o:gfxdata="UEsDBAoAAAAAAIdO4kAAAAAAAAAAAAAAAAAEAAAAZHJzL1BLAwQUAAAACACHTuJA1+5O37wAAADb&#10;AAAADwAAAGRycy9kb3ducmV2LnhtbEVPTWvCQBC9F/oflin0InVXA0WimxyqgR68mCq9DtkxCc3O&#10;xuw2sf56t1DobR7vczb51XZipMG3jjUs5goEceVMy7WG40fxsgLhA7LBzjFp+CEPefb4sMHUuIkP&#10;NJahFjGEfYoamhD6VEpfNWTRz11PHLmzGyyGCIdamgGnGG47uVTqVVpsOTY02NNbQ9VX+W01+OJE&#10;l+I2q2bqM6kdLS/b/Q61fn5aqDWIQNfwL/5zv5s4P4HfX+IBMr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uTt+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_x0000_s1026" o:spid="_x0000_s1026" o:spt="20" style="position:absolute;left:1464;top:11764;height:0;width:8820;" filled="f" stroked="t" coordsize="21600,21600" o:gfxdata="UEsDBAoAAAAAAIdO4kAAAAAAAAAAAAAAAAAEAAAAZHJzL1BLAwQUAAAACACHTuJAN0tzMLwAAADb&#10;AAAADwAAAGRycy9kb3ducmV2LnhtbEVPS2vCQBC+C/6HZQq9BN01pSKpqwfbgAcv9YHXITtNQrOz&#10;Mbs10V/fLRS8zcf3nOV6sI24UudrxxpmUwWCuHCm5lLD8ZBPFiB8QDbYOCYNN/KwXo1HS8yM6/mT&#10;rvtQihjCPkMNVQhtJqUvKrLop64ljtyX6yyGCLtSmg77GG4bmSo1lxZrjg0VtrSpqPje/1gNPj/R&#10;Jb8nRaLOL6Wj9PK++0Ctn59m6g1EoCE8xP/urYnzX+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dLcz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w:pict>
          </mc:Fallback>
        </mc:AlternateContent>
      </w:r>
      <w:r>
        <w:rPr>
          <w:rFonts w:hint="default" w:ascii="Times New Roman" w:hAnsi="Times New Roman" w:eastAsia="仿宋_GB2312" w:cs="Times New Roman"/>
          <w:sz w:val="28"/>
          <w:szCs w:val="28"/>
        </w:rPr>
        <w:t>蛟河市人民政府办公室</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5</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24</w:t>
      </w:r>
      <w:r>
        <w:rPr>
          <w:rFonts w:hint="default" w:ascii="Times New Roman" w:hAnsi="Times New Roman" w:eastAsia="仿宋_GB2312" w:cs="Times New Roman"/>
          <w:sz w:val="28"/>
          <w:szCs w:val="28"/>
        </w:rPr>
        <w:t>日印发</w:t>
      </w:r>
      <w:r>
        <w:rPr>
          <w:rFonts w:eastAsia="仿宋_GB2312"/>
          <w:sz w:val="28"/>
          <w:szCs w:val="28"/>
        </w:rPr>
        <mc:AlternateContent>
          <mc:Choice Requires="wpg">
            <w:drawing>
              <wp:anchor distT="0" distB="0" distL="114300" distR="114300" simplePos="0" relativeHeight="251663360" behindDoc="0" locked="0" layoutInCell="1" allowOverlap="1">
                <wp:simplePos x="0" y="0"/>
                <wp:positionH relativeFrom="column">
                  <wp:posOffset>929640</wp:posOffset>
                </wp:positionH>
                <wp:positionV relativeFrom="paragraph">
                  <wp:posOffset>7345680</wp:posOffset>
                </wp:positionV>
                <wp:extent cx="5614035" cy="1447165"/>
                <wp:effectExtent l="0" t="9525" r="5715" b="10160"/>
                <wp:wrapNone/>
                <wp:docPr id="18" name="组合 18"/>
                <wp:cNvGraphicFramePr/>
                <a:graphic xmlns:a="http://schemas.openxmlformats.org/drawingml/2006/main">
                  <a:graphicData uri="http://schemas.microsoft.com/office/word/2010/wordprocessingGroup">
                    <wpg:wgp>
                      <wpg:cNvGrpSpPr/>
                      <wpg:grpSpPr>
                        <a:xfrm>
                          <a:off x="0" y="0"/>
                          <a:ext cx="5614035" cy="1447165"/>
                          <a:chOff x="1464" y="11055"/>
                          <a:chExt cx="8841" cy="2279"/>
                        </a:xfrm>
                        <a:effectLst/>
                      </wpg:grpSpPr>
                      <wps:wsp>
                        <wps:cNvPr id="7" name="直接连接符 1"/>
                        <wps:cNvCnPr/>
                        <wps:spPr>
                          <a:xfrm>
                            <a:off x="1485" y="11055"/>
                            <a:ext cx="8820" cy="0"/>
                          </a:xfrm>
                          <a:prstGeom prst="line">
                            <a:avLst/>
                          </a:prstGeom>
                          <a:ln w="19050" cap="flat" cmpd="sng">
                            <a:solidFill>
                              <a:srgbClr val="000000"/>
                            </a:solidFill>
                            <a:prstDash val="solid"/>
                            <a:headEnd type="none" w="med" len="med"/>
                            <a:tailEnd type="none" w="med" len="med"/>
                          </a:ln>
                          <a:effectLst/>
                        </wps:spPr>
                        <wps:bodyPr upright="1"/>
                      </wps:wsp>
                      <wps:wsp>
                        <wps:cNvPr id="8" name="直接连接符 2"/>
                        <wps:cNvCnPr/>
                        <wps:spPr>
                          <a:xfrm>
                            <a:off x="1470" y="12840"/>
                            <a:ext cx="8820" cy="0"/>
                          </a:xfrm>
                          <a:prstGeom prst="line">
                            <a:avLst/>
                          </a:prstGeom>
                          <a:ln w="9525" cap="flat" cmpd="sng">
                            <a:solidFill>
                              <a:srgbClr val="000000"/>
                            </a:solidFill>
                            <a:prstDash val="solid"/>
                            <a:headEnd type="none" w="med" len="med"/>
                            <a:tailEnd type="none" w="med" len="med"/>
                          </a:ln>
                          <a:effectLst/>
                        </wps:spPr>
                        <wps:bodyPr upright="1"/>
                      </wps:wsp>
                      <wps:wsp>
                        <wps:cNvPr id="9" name="直接连接符 3"/>
                        <wps:cNvCnPr/>
                        <wps:spPr>
                          <a:xfrm>
                            <a:off x="1464" y="13334"/>
                            <a:ext cx="8820" cy="0"/>
                          </a:xfrm>
                          <a:prstGeom prst="line">
                            <a:avLst/>
                          </a:prstGeom>
                          <a:ln w="19050" cap="flat" cmpd="sng">
                            <a:solidFill>
                              <a:srgbClr val="000000"/>
                            </a:solidFill>
                            <a:prstDash val="solid"/>
                            <a:headEnd type="none" w="med" len="med"/>
                            <a:tailEnd type="none" w="med" len="med"/>
                          </a:ln>
                          <a:effectLst/>
                        </wps:spPr>
                        <wps:bodyPr upright="1"/>
                      </wps:wsp>
                    </wpg:wgp>
                  </a:graphicData>
                </a:graphic>
              </wp:anchor>
            </w:drawing>
          </mc:Choice>
          <mc:Fallback>
            <w:pict>
              <v:group id="_x0000_s1026" o:spid="_x0000_s1026" o:spt="203" style="position:absolute;left:0pt;margin-left:73.2pt;margin-top:578.4pt;height:113.95pt;width:442.05pt;z-index:251663360;mso-width-relative:page;mso-height-relative:page;" coordorigin="1464,11055" coordsize="8841,2279" o:gfxdata="UEsDBAoAAAAAAIdO4kAAAAAAAAAAAAAAAAAEAAAAZHJzL1BLAwQUAAAACACHTuJAuJxzgdwAAAAO&#10;AQAADwAAAGRycy9kb3ducmV2LnhtbE2PzU7DMBCE70i8g7VI3Kht8kMV4lSoAk4VEi0S4ubG2yRq&#10;bEexm7Rvz/YEtxntp9mZcnW2PZtwDJ13CuRCAENXe9O5RsHX7u1hCSxE7YzuvUMFFwywqm5vSl0Y&#10;P7tPnLaxYRTiQqEVtDEOBeehbtHqsPADOrod/Gh1JDs23Ix6pnDb80chcm515+hDqwdct1gftyer&#10;4H3W80siX6fN8bC+/Oyyj++NRKXu76R4BhbxHP9guNan6lBRp70/ORNYTz7NU0JJyCynEVdEJCID&#10;tieVLNMn4FXJ/8+ofgFQSwMEFAAAAAgAh07iQIDTJkK8AgAAagkAAA4AAABkcnMvZTJvRG9jLnht&#10;bO2Wz2/TMBTH70j8D5bvLD+atmm0dod12wXBpMEf4CVOYsmxLdtt2jsHTog7Ejc4ceTGgb8Gxp/B&#10;s5O2WwFpA43Tekgd/3h+7/O+fs7h0arhaEm1YVJMcXQQYkRFLgsmqil++eL0SYqRsUQUhEtBp3hN&#10;DT6aPX502KqMxrKWvKAagRFhslZNcW2tyoLA5DVtiDmQigoYLKVuiIVXXQWFJi1Yb3gQh+EoaKUu&#10;lJY5NQZ6590g7i3q2xiUZclyOpf5oqHCdlY15cRCSKZmyuCZ97YsaW6fl6WhFvEphkitf8Im0L50&#10;z2B2SLJKE1WzvHeB3MaFvZgawgRsujU1J5aghWa/mGpYrqWRpT3IZRN0gXgiEEUU7rE503KhfCxV&#10;1lZqCx0StUf9r83mz5bnGrEClAB5F6SBjF99efXt7WsEHUCnVVUGk860ulDnuu+oujcX8KrUjfuH&#10;UNDKc11vudKVRTl0DkdREg6GGOUwFiXJOBoNO/J5Delx66JklGDkhqNwuB086Q2kaRJ1q+N4PHFL&#10;g93O1Kf5qbGu27m79a5VIFGz42b+jdtFTRT16TAOSc9tvMX27vP3Nx9+fH0Pz6tPH1HU4fNzj0XP&#10;zmQGMP4GXJSkAOgmgA2/NI1Brw6eF+y12JU29ozKBrnGFHMmnIMkI8ueB8k2U1w3F6gFxJNw6OwR&#10;OL0lnBpoNgoUYETlFxvJWXHKOHdLjK4uj7lGS+JOkP/1/G9Mc7vMiam7eX6oy3BNSXEiCmTXCqQl&#10;oKRg50NDC4w4hQrkWpA5klnC+G1mQvhcuAV7id+gdVm/lMUa8rNQmlU1gPG5AHF4PThR/wdh7M7T&#10;njDiOwpjDMlywojTpC9Y9ySMyTB2h/RBF5vb7V4KxuRPBWNwR11sKuZgMEi6I3RPungoGP5egSvY&#10;Xzz954K746+/+9tn94k0+w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4nHOB3AAAAA4BAAAPAAAA&#10;AAAAAAEAIAAAACIAAABkcnMvZG93bnJldi54bWxQSwECFAAUAAAACACHTuJAgNMmQrwCAABqCQAA&#10;DgAAAAAAAAABACAAAAArAQAAZHJzL2Uyb0RvYy54bWxQSwUGAAAAAAYABgBZAQAAWQYAAAAA&#10;">
                <o:lock v:ext="edit" aspectratio="f"/>
                <v:line id="直接连接符 1" o:spid="_x0000_s1026" o:spt="20" style="position:absolute;left:1485;top:11055;height:0;width:8820;" filled="f" stroked="t" coordsize="21600,21600" o:gfxdata="UEsDBAoAAAAAAIdO4kAAAAAAAAAAAAAAAAAEAAAAZHJzL1BLAwQUAAAACACHTuJAvsTPcLwAAADa&#10;AAAADwAAAGRycy9kb3ducmV2LnhtbEWPzWrDMBCE74W+g9hCb42c0CaOG8UQQ6HkVsckOS7Wxja1&#10;VsZS/fP2VaGQ4zAz3zC7dDKtGKh3jWUFy0UEgri0uuFKQXH6eIlBOI+ssbVMCmZykO4fH3aYaDvy&#10;Fw25r0SAsEtQQe19l0jpypoMuoXtiIN3s71BH2RfSd3jGOCmlasoWkuDDYeFGjvKaiq/8x8TKG+X&#10;+HDEuJjnNr9uX7PzcWCj1PPTMnoH4Wny9/B/+1Mr2MDflXAD5P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7Ez3C8AAAA&#10;2g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直接连接符 2" o:spid="_x0000_s1026" o:spt="20" style="position:absolute;left:1470;top:12840;height:0;width:8820;" filled="f" stroked="t" coordsize="21600,21600" o:gfxdata="UEsDBAoAAAAAAIdO4kAAAAAAAAAAAAAAAAAEAAAAZHJzL1BLAwQUAAAACACHTuJAajomGbgAAADa&#10;AAAADwAAAGRycy9kb3ducmV2LnhtbEVPy4rCMBTdD/gP4QqzEU10YJBq7EItuHDjC7eX5toWm5u2&#10;iY/x681iwOXhvOfp09biTp2vHGsYjxQI4tyZigsNx0M2nILwAdlg7Zg0/JGHdNH7mmNi3IN3dN+H&#10;QsQQ9glqKENoEil9XpJFP3INceQurrMYIuwKaTp8xHBby4lSv9JixbGhxIaWJeXX/c1q8NmJ2uw1&#10;yAfq/FM4mrSr7Rq1/u6P1QxEoGf4iP/dG6Mhbo1X4g2Qi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jomGbgAAADaAAAA&#10;DwAAAAAAAAABACAAAAAiAAAAZHJzL2Rvd25yZXYueG1sUEsBAhQAFAAAAAgAh07iQDMvBZ47AAAA&#10;OQAAABAAAAAAAAAAAQAgAAAABwEAAGRycy9zaGFwZXhtbC54bWxQSwUGAAAAAAYABgBbAQAAsQMA&#10;AAAA&#10;">
                  <v:fill on="f" focussize="0,0"/>
                  <v:stroke color="#000000" joinstyle="round"/>
                  <v:imagedata o:title=""/>
                  <o:lock v:ext="edit" aspectratio="f"/>
                </v:line>
                <v:line id="直接连接符 3" o:spid="_x0000_s1026" o:spt="20" style="position:absolute;left:1464;top:13334;height:0;width:8820;" filled="f" stroked="t" coordsize="21600,21600" o:gfxdata="UEsDBAoAAAAAAIdO4kAAAAAAAAAAAAAAAAAEAAAAZHJzL1BLAwQUAAAACACHTuJAoBf+mboAAADa&#10;AAAADwAAAGRycy9kb3ducmV2LnhtbEWPQYvCMBSE74L/ITxhb5p22ZVaTQUFQbxZRT0+mmdbbF5K&#10;k63235uFhT0OM/MNs1q/TCN66lxtWUE8i0AQF1bXXCo4n3bTBITzyBoby6RgIAfrbDxaYartk4/U&#10;574UAcIuRQWV920qpSsqMuhmtiUO3t12Bn2QXSl1h88AN438jKK5NFhzWKiwpW1FxSP/MYHyfU02&#10;B0zOw9Dkt8XX9nLo2Sj1MYmjJQhPL/8f/mvvtYIF/F4JN0Bm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F/6ZugAAANoA&#10;AAAPAAAAAAAAAAEAIAAAACIAAABkcnMvZG93bnJldi54bWxQSwECFAAUAAAACACHTuJAMy8FnjsA&#10;AAA5AAAAEAAAAAAAAAABACAAAAAJAQAAZHJzL3NoYXBleG1sLnhtbFBLBQYAAAAABgAGAFsBAACz&#10;AwAAAAA=&#10;">
                  <v:fill on="f" focussize="0,0"/>
                  <v:stroke weight="1.5pt" color="#000000" joinstyle="round"/>
                  <v:imagedata o:title=""/>
                  <o:lock v:ext="edit" aspectratio="f"/>
                </v:line>
              </v:group>
            </w:pict>
          </mc:Fallback>
        </mc:AlternateContent>
      </w:r>
    </w:p>
    <w:sectPr>
      <w:headerReference r:id="rId9" w:type="default"/>
      <w:footerReference r:id="rId10" w:type="default"/>
      <w:pgSz w:w="11907" w:h="16839"/>
      <w:pgMar w:top="2041" w:right="1531" w:bottom="2041" w:left="1531" w:header="851" w:footer="992" w:gutter="0"/>
      <w:pgNumType w:fmt="decimal"/>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sz w:val="18"/>
      </w:rPr>
      <mc:AlternateContent>
        <mc:Choice Requires="wps">
          <w:drawing>
            <wp:anchor distT="0" distB="0" distL="114300" distR="114300" simplePos="0" relativeHeight="251659264" behindDoc="0" locked="0" layoutInCell="1" allowOverlap="1">
              <wp:simplePos x="0" y="0"/>
              <wp:positionH relativeFrom="margin">
                <wp:posOffset>4855845</wp:posOffset>
              </wp:positionH>
              <wp:positionV relativeFrom="paragraph">
                <wp:posOffset>-388620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2.35pt;margin-top:-30.6pt;height:144pt;width:144pt;mso-position-horizontal-relative:margin;mso-wrap-style:none;z-index:251659264;mso-width-relative:page;mso-height-relative:page;" filled="f" stroked="f" coordsize="21600,21600" o:gfxdata="UEsDBAoAAAAAAIdO4kAAAAAAAAAAAAAAAAAEAAAAZHJzL1BLAwQUAAAACACHTuJAQsQRENkAAAAM&#10;AQAADwAAAGRycy9kb3ducmV2LnhtbE2Py07DMBBF90j8gzVI7Fo7pqRVGqcSFWGJRMOCpRtPk4Af&#10;ke2m4e9xV3Q5M0d3zi13s9FkQh8GZwVkSwYEbevUYDsBn0292AAJUVoltbMo4BcD7Kr7u1IWyl3s&#10;B06H2JEUYkMhBfQxjgWloe3RyLB0I9p0OzlvZEyj76jy8pLCjaacsZwaOdj0oZcj7ntsfw5nI2Bf&#10;N42fMHj9hW/10/f7ywpfZyEeHzK2BRJxjv8wXPWTOlTJ6ejOVgWiBazz1TqhAhZ5xoFcCfbM0+oo&#10;gPN8A7Qq6W2J6g9QSwMEFAAAAAgAh07iQCSCRrQxAgAAYQQAAA4AAABkcnMvZTJvRG9jLnhtbK1U&#10;S44TMRDdI3EHy3vSSRCjKEpnFCYKQoqYkQJi7bjdaUv+yXbSHQ4AN2DFhj3nyjl47k8GDSxmwcZd&#10;dpVf+b2q6sVtoxU5CR+kNTmdjMaUCMNtIc0hp58+bl7NKAmRmYIpa0ROzyLQ2+XLF4vazcXUVlYV&#10;whOAmDCvXU6rGN08ywKvhGZhZJ0wcJbWaxax9Yes8KwGulbZdDy+yWrrC+ctFyHgdN05aY/onwNo&#10;y1Jysbb8qIWJHaoXikVQCpV0gS7b15al4PG+LIOIROUUTGO7IgnsfVqz5YLND565SvL+Cew5T3jC&#10;STNpkPQKtWaRkaOXf0Fpyb0NtowjbnXWEWkVAYvJ+Ik2u4o50XKB1MFdRQ//D5Z/OD14IoucTikx&#10;TKPgl+/fLj9+XX5+JdMkT+3CHFE7h7jYvLUNmmY4DzhMrJvS6/QFHwI/xD1fxRVNJDxdmk1nszFc&#10;HL5hA/zs8brzIb4TVpNk5NSjeq2o7LQNsQsdQlI2YzdSqbaCypA6pzev34zbC1cPwJVBjkSie2yy&#10;YrNvemZ7W5xBzNuuM4LjG4nkWxbiA/NoBTwYwxLvsZTKIontLUoq67/86zzFo0LwUlKjtXJqMEmU&#10;qPcGlQNgHAw/GPvBMEd9Z9GrEwyh462JCz6qwSy91Z8xQauUAy5mODLlNA7mXezaGxPIxWrVBh2d&#10;l4equ4C+cyxuzc7xlCYJGdzqGCFmq3ESqFOl1w2d11apn5LU2n/u26jHP8P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LEERDZAAAADAEAAA8AAAAAAAAAAQAgAAAAIgAAAGRycy9kb3ducmV2Lnht&#10;bFBLAQIUABQAAAAIAIdO4kAkgka0MQIAAGEEAAAOAAAAAAAAAAEAIAAAACgBAABkcnMvZTJvRG9j&#10;LnhtbFBLBQYAAAAABgAGAFkBAADLBQAAAAA=&#10;">
              <v:fill on="f" focussize="0,0"/>
              <v:stroke on="f" weight="0.5pt"/>
              <v:imagedata o:title=""/>
              <o:lock v:ext="edit" aspectratio="f"/>
              <v:textbox inset="0mm,0mm,0mm,0mm" style="mso-fit-shape-to-text:t;">
                <w:txbxContent>
                  <w:p>
                    <w:pPr>
                      <w:pStyle w:val="17"/>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posOffset>184150</wp:posOffset>
              </wp:positionH>
              <wp:positionV relativeFrom="paragraph">
                <wp:posOffset>-519430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4.5pt;margin-top:-40.9pt;height:144pt;width:144pt;mso-position-horizontal-relative:margin;mso-wrap-style:none;z-index:251660288;mso-width-relative:page;mso-height-relative:page;" filled="f" stroked="f" coordsize="21600,21600" o:gfxdata="UEsDBAoAAAAAAIdO4kAAAAAAAAAAAAAAAAAEAAAAZHJzL1BLAwQUAAAACACHTuJAGd2+a9cAAAAK&#10;AQAADwAAAGRycy9kb3ducmV2LnhtbE2PzU7DMBCE70i8g7VI3Fo7KSoljVOJinBEouHA0Y23ScA/&#10;ke2m4e1ZTvS4M6PZ+crdbA2bMMTBOwnZUgBD13o9uE7CR1MvNsBiUk4r4x1K+MEIu+r2plSF9hf3&#10;jtMhdYxKXCyUhD6lseA8tj1aFZd+REfeyQerEp2h4zqoC5Vbw3Mh1tyqwdGHXo2477H9PpythH3d&#10;NGHCGMwnvtarr7fnB3yZpby/y8QWWMI5/Yfhbz5Nh4o2Hf3Z6ciMhPyJUJKExSYjBAqsskdSjuSI&#10;dQ68Kvk1QvULUEsDBBQAAAAIAIdO4kDhgNOOMgIAAGEEAAAOAAAAZHJzL2Uyb0RvYy54bWytVM2O&#10;0zAQviPxDpbvNGkrVlXVdFW2KkKq2JUK4uw6ThPJf7LdJuUB4A04ceHOc/U59nN+umjhsAcuztgz&#10;/sbfNzNZ3DZKkpNwvjI6o+NRSonQ3OSVPmT086fNmxklPjCdM2m0yOhZeHq7fP1qUdu5mJjSyFw4&#10;AhDt57XNaBmCnSeJ56VQzI+MFRrOwjjFArbukOSO1UBXMpmk6U1SG5dbZ7jwHqfrzkl7RPcSQFMU&#10;FRdrw49K6NChOiFZACVfVtbTZfvaohA83BeFF4HIjIJpaFckgb2Pa7JcsPnBMVtWvH8Ce8kTnnFS&#10;rNJIeoVas8DI0VV/QamKO+NNEUbcqKQj0ioCFuP0mTa7klnRcoHU3l5F9/8Pln88PThS5RmdUqKZ&#10;QsEvP75ffv6+/PpGplGe2vo5onYWcaF5Zxo0zXDucRhZN4VT8Qs+BH6Ie76KK5pAeLw0m8xmKVwc&#10;vmED/OTpunU+vBdGkWhk1KF6rajstPWhCx1CYjZtNpWUbQWlJnVGb6Zv0/bC1QNwqZEjkugeG63Q&#10;7Jue2d7kZxBzpusMb/mmQvIt8+GBObQCHoxhCfdYCmmQxPQWJaVxX/91HuNRIXgpqdFaGdWYJErk&#10;B43KATAMhhuM/WDoo7oz6NUxhtDy1sQFF+RgFs6oL5igVcwBF9McmTIaBvMudO2NCeRitWqDjtZV&#10;h7K7gL6zLGz1zvKYJgrp7eoYIGarcRSoU6XXDZ3XVqmfktjaf+7bqKc/w/IR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d2+a9cAAAAKAQAADwAAAAAAAAABACAAAAAiAAAAZHJzL2Rvd25yZXYueG1s&#10;UEsBAhQAFAAAAAgAh07iQOGA044yAgAAYQQAAA4AAAAAAAAAAQAgAAAAJgEAAGRycy9lMm9Eb2Mu&#10;eG1sUEsFBgAAAAAGAAYAWQEAAMoFAAAAAA==&#10;">
              <v:fill on="f" focussize="0,0"/>
              <v:stroke on="f" weight="0.5pt"/>
              <v:imagedata o:title=""/>
              <o:lock v:ext="edit" aspectratio="f"/>
              <v:textbox inset="0mm,0mm,0mm,0mm" style="mso-fit-shape-to-text:t;">
                <w:txbxContent>
                  <w:p>
                    <w:pPr>
                      <w:pStyle w:val="17"/>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1312" behindDoc="0" locked="0" layoutInCell="1" allowOverlap="1">
              <wp:simplePos x="0" y="0"/>
              <wp:positionH relativeFrom="margin">
                <wp:posOffset>4875530</wp:posOffset>
              </wp:positionH>
              <wp:positionV relativeFrom="paragraph">
                <wp:posOffset>-518795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3.9pt;margin-top:-40.85pt;height:144pt;width:144pt;mso-position-horizontal-relative:margin;mso-wrap-style:none;z-index:251661312;mso-width-relative:page;mso-height-relative:page;" filled="f" stroked="f" coordsize="21600,21600" o:gfxdata="UEsDBAoAAAAAAIdO4kAAAAAAAAAAAAAAAAAEAAAAZHJzL1BLAwQUAAAACACHTuJA5/g2ItkAAAAM&#10;AQAADwAAAGRycy9kb3ducmV2LnhtbE2PwU7DMBBE70j8g7VI3Fo7LU2qNJtKVIQjEg0Hjm68JCmx&#10;HdluGv4e9wTHnR3NvCn2sx7YRM731iAkSwGMTGNVb1qEj7pabIH5II2SgzWE8EMe9uX9XSFzZa/m&#10;naZjaFkMMT6XCF0IY865bzrS0i/tSCb+vqzTMsTTtVw5eY3heuArIVKuZW9iQydHOnTUfB8vGuFQ&#10;1bWbyLvhk16r9fnt+YleZsTHh0TsgAWaw58ZbvgRHcrIdLIXozwbELI0i+gBYbFNMmA3h9hsonRC&#10;WIl0Dbws+P8R5S9QSwMEFAAAAAgAh07iQLqMOCsyAgAAYQQAAA4AAABkcnMvZTJvRG9jLnhtbK1U&#10;zY7TMBC+I/EOlu80aVlWVdV0VbYqQqrYlRbE2XWcJpL/ZLtNygPAG3Diwp3n6nPw2Wm6aOGwBy7O&#10;2DP+xt83M5nfdEqSg3C+Mbqg41FOidDclI3eFfTTx/WrKSU+MF0yabQo6FF4erN4+WLe2pmYmNrI&#10;UjgCEO1nrS1oHYKdZZnntVDMj4wVGs7KOMUCtm6XlY61QFcym+T5ddYaV1pnuPAep6veSc+I7jmA&#10;pqoaLlaG75XQoUd1QrIASr5urKeL9NqqEjzcVZUXgciCgmlIK5LA3sY1W8zZbOeYrRt+fgJ7zhOe&#10;cFKs0Uh6gVqxwMjeNX9BqYY7400VRtyorCeSFAGLcf5Em4eaWZG4QGpvL6L7/wfLPxzuHWnKgl5R&#10;oplCwU/fv51+/Dr9/Equojyt9TNEPVjEhe6t6dA0w7nHYWTdVU7FL/gQ+CHu8SKu6ALh8dJ0Mp3m&#10;cHH4hg3ws8fr1vnwThhFolFQh+olUdlh40MfOoTEbNqsGylTBaUmbUGvX7/J04WLB+BSI0ck0T82&#10;WqHbdmdmW1MeQcyZvjO85esGyTfMh3vm0Ap4MIYl3GGppEESc7YoqY378q/zGI8KwUtJi9YqqMYk&#10;USLfa1QOgGEw3GBsB0Pv1a1Br44xhJYnExdckINZOaM+Y4KWMQdcTHNkKmgYzNvQtzcmkIvlMgXt&#10;rWt2dX8BfWdZ2OgHy2OaKKS3y32AmEnjKFCvylk3dF6q0nlKYmv/uU9Rj3+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n+DYi2QAAAAwBAAAPAAAAAAAAAAEAIAAAACIAAABkcnMvZG93bnJldi54&#10;bWxQSwECFAAUAAAACACHTuJAuow4KzICAABhBAAADgAAAAAAAAABACAAAAAoAQAAZHJzL2Uyb0Rv&#10;Yy54bWxQSwUGAAAAAAYABgBZAQAAzAUAAAAA&#10;">
              <v:fill on="f" focussize="0,0"/>
              <v:stroke on="f" weight="0.5pt"/>
              <v:imagedata o:title=""/>
              <o:lock v:ext="edit" aspectratio="f"/>
              <v:textbox inset="0mm,0mm,0mm,0mm" style="mso-fit-shape-to-text:t;">
                <w:txbxContent>
                  <w:p>
                    <w:pPr>
                      <w:pStyle w:val="17"/>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2336" behindDoc="0" locked="0" layoutInCell="1" allowOverlap="1">
              <wp:simplePos x="0" y="0"/>
              <wp:positionH relativeFrom="margin">
                <wp:posOffset>4642485</wp:posOffset>
              </wp:positionH>
              <wp:positionV relativeFrom="paragraph">
                <wp:posOffset>-190500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left="0" w:leftChars="0" w:firstLine="0" w:firstLineChars="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65.55pt;margin-top:-15pt;height:144pt;width:144pt;mso-position-horizontal-relative:margin;mso-wrap-style:none;z-index:251662336;mso-width-relative:page;mso-height-relative:page;" filled="f" stroked="f" coordsize="21600,21600" o:gfxdata="UEsDBAoAAAAAAIdO4kAAAAAAAAAAAAAAAAAEAAAAZHJzL1BLAwQUAAAACACHTuJAw+TS39kAAAAM&#10;AQAADwAAAGRycy9kb3ducmV2LnhtbE2Py07DMBBF90j8gzVI7FrbDY8S4lSiIl1WomHB0o2HJBDb&#10;ke2m4e+ZrmA5M0d3zi02sx3YhCH23imQSwEMXeNN71oF73W1WAOLSTujB+9QwQ9G2JTXV4XOjT+7&#10;N5wOqWUU4mKuFXQpjTnnsenQ6rj0Izq6ffpgdaIxtNwEfaZwO/CVEA/c6t7Rh06PuO2w+T6crIJt&#10;VddhwhiGD9xV2df+5Q5fZ6Vub6R4BpZwTn8wXPRJHUpyOvqTM5ENCh4zKQlVsMgElboQQj7R6qhg&#10;db8WwMuC/y9R/gJQSwMEFAAAAAgAh07iQH+OrREyAgAAYQQAAA4AAABkcnMvZTJvRG9jLnhtbK1U&#10;zY7TMBC+I/EOlu80aVFXVdV0VbYqQqrYlQri7DpOE8l/st0m5QHgDThx4c5z9Tn2c366aOGwBy7O&#10;2DP+xt83M1ncNkqSk3C+Mjqj41FKidDc5JU+ZPTzp82bGSU+MJ0zabTI6Fl4ert8/WpR27mYmNLI&#10;XDgCEO3ntc1oGYKdJ4nnpVDMj4wVGs7COMUCtu6Q5I7VQFcymaTpTVIbl1tnuPAep+vOSXtE9xJA&#10;UxQVF2vDj0ro0KE6IVkAJV9W1tNl+9qiEDzcF4UXgciMgmloVySBvY9rslyw+cExW1a8fwJ7yROe&#10;cVKs0kh6hVqzwMjRVX9BqYo7400RRtyopCPSKgIW4/SZNruSWdFygdTeXkX3/w+Wfzw9OFLlGZ1S&#10;oplCwS8/vl9+/r78+kamUZ7a+jmidhZxoXlnGjTNcO5xGFk3hVPxCz4Efoh7voormkB4vDSbzGYp&#10;XBy+YQP85Om6dT68F0aRaGTUoXqtqOy09aELHUJiNm02lZRtBaUmdUZv3k7T9sLVA3CpkSOS6B4b&#10;rdDsm57Z3uRnEHOm6wxv+aZC8i3z4YE5tAIejGEJ91gKaZDE9BYlpXFf/3Ue41EheCmp0VoZ1Zgk&#10;SuQHjcoBMAyGG4z9YOijujPo1TGG0PLWxAUX5GAWzqgvmKBVzAEX0xyZMhoG8y507Y0J5GK1aoOO&#10;1lWHsruAvrMsbPXO8pgmCunt6hggZqtxFKhTpdcNnddWqZ+S2Np/7tuopz/D8h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D5NLf2QAAAAwBAAAPAAAAAAAAAAEAIAAAACIAAABkcnMvZG93bnJldi54&#10;bWxQSwECFAAUAAAACACHTuJAf46tETICAABhBAAADgAAAAAAAAABACAAAAAoAQAAZHJzL2Uyb0Rv&#10;Yy54bWxQSwUGAAAAAAYABgBZAQAAzAUAAAAA&#10;">
              <v:fill on="f" focussize="0,0"/>
              <v:stroke on="f" weight="0.5pt"/>
              <v:imagedata o:title=""/>
              <o:lock v:ext="edit" aspectratio="f"/>
              <v:textbox inset="0mm,0mm,0mm,0mm" style="mso-fit-shape-to-text:t;">
                <w:txbxContent>
                  <w:p>
                    <w:pPr>
                      <w:pStyle w:val="17"/>
                      <w:ind w:left="0" w:leftChars="0" w:firstLine="0" w:firstLineChars="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v:textbox>
            </v:shape>
          </w:pict>
        </mc:Fallback>
      </mc:AlternateContent>
    </w: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single" w:color="auto" w:sz="6" w:space="0"/>
      </w:pBdr>
      <w:ind w:firstLine="0"/>
      <w:rPr>
        <w:sz w:val="21"/>
        <w:szCs w:val="21"/>
      </w:rPr>
    </w:pPr>
    <w:r>
      <w:rPr>
        <w:rFonts w:hint="eastAsia"/>
        <w:sz w:val="21"/>
        <w:szCs w:val="21"/>
      </w:rPr>
      <w:t>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single" w:color="auto" w:sz="6" w:space="0"/>
      </w:pBdr>
      <w:rPr>
        <w:sz w:val="21"/>
        <w:szCs w:val="21"/>
      </w:rPr>
    </w:pPr>
    <w:r>
      <w:rPr>
        <w:rFonts w:hint="eastAsia"/>
        <w:sz w:val="21"/>
        <w:szCs w:val="21"/>
      </w:rPr>
      <w:t>《蛟河市国民经济和社会发展第十四个五年规划和2035年远景目标纲要》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5E3B49"/>
    <w:multiLevelType w:val="singleLevel"/>
    <w:tmpl w:val="BF5E3B49"/>
    <w:lvl w:ilvl="0" w:tentative="0">
      <w:start w:val="11"/>
      <w:numFmt w:val="chineseCounting"/>
      <w:suff w:val="space"/>
      <w:lvlText w:val="第%1章"/>
      <w:lvlJc w:val="left"/>
      <w:rPr>
        <w:rFonts w:hint="eastAsia"/>
      </w:rPr>
    </w:lvl>
  </w:abstractNum>
  <w:abstractNum w:abstractNumId="1">
    <w:nsid w:val="0A075FBB"/>
    <w:multiLevelType w:val="multilevel"/>
    <w:tmpl w:val="0A075FBB"/>
    <w:lvl w:ilvl="0" w:tentative="0">
      <w:start w:val="1"/>
      <w:numFmt w:val="chineseCountingThousand"/>
      <w:pStyle w:val="4"/>
      <w:suff w:val="space"/>
      <w:lvlText w:val="第%1章"/>
      <w:lvlJc w:val="left"/>
      <w:pPr>
        <w:ind w:left="420" w:hanging="420"/>
      </w:pPr>
      <w:rPr>
        <w:rFonts w:hint="eastAsia" w:ascii="方正小标宋简体" w:hAnsi="方正小标宋简体" w:eastAsia="方正小标宋简体" w:cs="方正小标宋简体"/>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0E0D52"/>
    <w:multiLevelType w:val="multilevel"/>
    <w:tmpl w:val="1B0E0D52"/>
    <w:lvl w:ilvl="0" w:tentative="0">
      <w:start w:val="1"/>
      <w:numFmt w:val="decimal"/>
      <w:pStyle w:val="8"/>
      <w:suff w:val="nothing"/>
      <w:lvlText w:val="（%1）"/>
      <w:lvlJc w:val="left"/>
      <w:pPr>
        <w:ind w:left="420" w:hanging="420"/>
      </w:pPr>
      <w:rPr>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1" w:tentative="0">
      <w:start w:val="1"/>
      <w:numFmt w:val="decimalEnclosedCircle"/>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B4734C8"/>
    <w:multiLevelType w:val="multilevel"/>
    <w:tmpl w:val="1B4734C8"/>
    <w:lvl w:ilvl="0" w:tentative="0">
      <w:start w:val="1"/>
      <w:numFmt w:val="decimal"/>
      <w:pStyle w:val="9"/>
      <w:lvlText w:val="%1）"/>
      <w:lvlJc w:val="left"/>
      <w:pPr>
        <w:ind w:left="42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32907EF1"/>
    <w:multiLevelType w:val="multilevel"/>
    <w:tmpl w:val="32907EF1"/>
    <w:lvl w:ilvl="0" w:tentative="0">
      <w:start w:val="1"/>
      <w:numFmt w:val="decimal"/>
      <w:pStyle w:val="7"/>
      <w:lvlText w:val="%1."/>
      <w:lvlJc w:val="left"/>
      <w:pPr>
        <w:ind w:left="420" w:hanging="420"/>
      </w:pPr>
      <w:rPr>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EC34993"/>
    <w:multiLevelType w:val="multilevel"/>
    <w:tmpl w:val="4EC34993"/>
    <w:lvl w:ilvl="0" w:tentative="0">
      <w:start w:val="1"/>
      <w:numFmt w:val="chineseCountingThousand"/>
      <w:pStyle w:val="5"/>
      <w:lvlText w:val="第%1节 "/>
      <w:lvlJc w:val="left"/>
      <w:pPr>
        <w:ind w:left="840" w:hanging="420"/>
      </w:pPr>
      <w:rPr>
        <w:rFonts w:hint="eastAsia" w:ascii="方正小标宋简体" w:hAnsi="方正小标宋简体" w:eastAsia="方正小标宋简体" w:cs="方正小标宋简体"/>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6225748A"/>
    <w:multiLevelType w:val="multilevel"/>
    <w:tmpl w:val="6225748A"/>
    <w:lvl w:ilvl="0" w:tentative="0">
      <w:start w:val="1"/>
      <w:numFmt w:val="chineseCountingThousand"/>
      <w:pStyle w:val="6"/>
      <w:lvlText w:val="%1、"/>
      <w:lvlJc w:val="left"/>
      <w:pPr>
        <w:ind w:left="420" w:hanging="420"/>
      </w:pPr>
      <w:rPr>
        <w:rFonts w:hint="default" w:ascii="Arial" w:hAnsi="Arial" w:eastAsia="黑体"/>
        <w:b/>
        <w:i w:val="0"/>
        <w:iCs w:val="0"/>
        <w:caps w:val="0"/>
        <w:smallCaps w:val="0"/>
        <w:strike w:val="0"/>
        <w:dstrike w:val="0"/>
        <w:vanish w:val="0"/>
        <w:color w:val="000000"/>
        <w:spacing w:val="0"/>
        <w:position w:val="0"/>
        <w:sz w:val="30"/>
        <w:u w:val="none"/>
        <w:vertAlign w:val="baseline"/>
        <w14:shadow w14:blurRad="0" w14:dist="0" w14:dir="0" w14:sx="0" w14:sy="0" w14:kx="0" w14:ky="0" w14:algn="none">
          <w14:srgbClr w14:val="000000"/>
        </w14:shadow>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4BA0AB8"/>
    <w:multiLevelType w:val="multilevel"/>
    <w:tmpl w:val="64BA0AB8"/>
    <w:lvl w:ilvl="0" w:tentative="0">
      <w:start w:val="1"/>
      <w:numFmt w:val="chineseCountingThousand"/>
      <w:pStyle w:val="3"/>
      <w:suff w:val="space"/>
      <w:lvlText w:val="第%1篇"/>
      <w:lvlJc w:val="left"/>
      <w:pPr>
        <w:ind w:left="420" w:hanging="420"/>
      </w:pPr>
      <w:rPr>
        <w:rFonts w:hint="eastAsia" w:ascii="方正小标宋简体" w:hAnsi="方正小标宋简体" w:eastAsia="方正小标宋简体" w:cs="方正小标宋简体"/>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67A746AE"/>
    <w:multiLevelType w:val="singleLevel"/>
    <w:tmpl w:val="67A746AE"/>
    <w:lvl w:ilvl="0" w:tentative="0">
      <w:start w:val="4"/>
      <w:numFmt w:val="chineseCounting"/>
      <w:suff w:val="space"/>
      <w:lvlText w:val="第%1节"/>
      <w:lvlJc w:val="left"/>
      <w:rPr>
        <w:rFonts w:hint="eastAsia"/>
      </w:rPr>
    </w:lvl>
  </w:abstractNum>
  <w:num w:numId="1">
    <w:abstractNumId w:val="7"/>
  </w:num>
  <w:num w:numId="2">
    <w:abstractNumId w:val="1"/>
  </w:num>
  <w:num w:numId="3">
    <w:abstractNumId w:val="5"/>
  </w:num>
  <w:num w:numId="4">
    <w:abstractNumId w:val="6"/>
  </w:num>
  <w:num w:numId="5">
    <w:abstractNumId w:val="4"/>
  </w:num>
  <w:num w:numId="6">
    <w:abstractNumId w:val="2"/>
  </w:num>
  <w:num w:numId="7">
    <w:abstractNumId w:val="3"/>
  </w:num>
  <w:num w:numId="8">
    <w:abstractNumId w:val="5"/>
    <w:lvlOverride w:ilvl="0">
      <w:startOverride w:val="1"/>
    </w:lvlOverride>
  </w:num>
  <w:num w:numId="9">
    <w:abstractNumId w:val="5"/>
    <w:lvlOverride w:ilvl="0">
      <w:startOverride w:val="1"/>
    </w:lvlOverride>
  </w:num>
  <w:num w:numId="10">
    <w:abstractNumId w:val="5"/>
    <w:lvlOverride w:ilvl="0">
      <w:startOverride w:val="1"/>
    </w:lvlOverride>
  </w:num>
  <w:num w:numId="11">
    <w:abstractNumId w:val="5"/>
    <w:lvlOverride w:ilvl="0">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num>
  <w:num w:numId="17">
    <w:abstractNumId w:val="5"/>
    <w:lvlOverride w:ilvl="0">
      <w:startOverride w:val="1"/>
    </w:lvlOverride>
  </w:num>
  <w:num w:numId="18">
    <w:abstractNumId w:val="0"/>
  </w:num>
  <w:num w:numId="19">
    <w:abstractNumId w:val="5"/>
    <w:lvlOverride w:ilvl="0">
      <w:startOverride w:val="1"/>
    </w:lvlOverride>
  </w:num>
  <w:num w:numId="20">
    <w:abstractNumId w:val="5"/>
    <w:lvlOverride w:ilvl="0">
      <w:startOverride w:val="1"/>
    </w:lvlOverride>
  </w:num>
  <w:num w:numId="21">
    <w:abstractNumId w:val="5"/>
    <w:lvlOverride w:ilvl="0">
      <w:startOverride w:val="1"/>
    </w:lvlOverride>
  </w:num>
  <w:num w:numId="22">
    <w:abstractNumId w:val="5"/>
    <w:lvlOverride w:ilvl="0">
      <w:startOverride w:val="1"/>
    </w:lvlOverride>
  </w:num>
  <w:num w:numId="23">
    <w:abstractNumId w:val="5"/>
    <w:lvlOverride w:ilvl="0">
      <w:startOverride w:val="1"/>
    </w:lvlOverride>
  </w:num>
  <w:num w:numId="24">
    <w:abstractNumId w:val="5"/>
    <w:lvlOverride w:ilvl="0">
      <w:startOverride w:val="1"/>
    </w:lvlOverride>
  </w:num>
  <w:num w:numId="25">
    <w:abstractNumId w:val="5"/>
    <w:lvlOverride w:ilvl="0">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evenAndOddHeaders w:val="1"/>
  <w:drawingGridVerticalSpacing w:val="156"/>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k2NDEzZDhiZmY5YTcyMDFlYzcwYTViZmRiZTg0OGYifQ=="/>
  </w:docVars>
  <w:rsids>
    <w:rsidRoot w:val="00172A27"/>
    <w:rsid w:val="00002C1E"/>
    <w:rsid w:val="0000586E"/>
    <w:rsid w:val="000231B0"/>
    <w:rsid w:val="000313C9"/>
    <w:rsid w:val="00031F08"/>
    <w:rsid w:val="0003246A"/>
    <w:rsid w:val="000430C6"/>
    <w:rsid w:val="00050F2D"/>
    <w:rsid w:val="00054C25"/>
    <w:rsid w:val="00055248"/>
    <w:rsid w:val="00055671"/>
    <w:rsid w:val="0006076C"/>
    <w:rsid w:val="00062A51"/>
    <w:rsid w:val="000674AA"/>
    <w:rsid w:val="00073298"/>
    <w:rsid w:val="00084C66"/>
    <w:rsid w:val="00087BAE"/>
    <w:rsid w:val="00095DF2"/>
    <w:rsid w:val="000A784E"/>
    <w:rsid w:val="000B05AB"/>
    <w:rsid w:val="000B16D0"/>
    <w:rsid w:val="000B3F44"/>
    <w:rsid w:val="000B7A64"/>
    <w:rsid w:val="000C3FCA"/>
    <w:rsid w:val="000E410E"/>
    <w:rsid w:val="00100615"/>
    <w:rsid w:val="00101285"/>
    <w:rsid w:val="00104A28"/>
    <w:rsid w:val="00107596"/>
    <w:rsid w:val="00116724"/>
    <w:rsid w:val="00120C39"/>
    <w:rsid w:val="00123842"/>
    <w:rsid w:val="00125548"/>
    <w:rsid w:val="00131133"/>
    <w:rsid w:val="00151385"/>
    <w:rsid w:val="001532FF"/>
    <w:rsid w:val="00156621"/>
    <w:rsid w:val="00172A27"/>
    <w:rsid w:val="001765DB"/>
    <w:rsid w:val="0018279B"/>
    <w:rsid w:val="00185B24"/>
    <w:rsid w:val="0019042F"/>
    <w:rsid w:val="001A2861"/>
    <w:rsid w:val="001A2EFB"/>
    <w:rsid w:val="001A412B"/>
    <w:rsid w:val="001A4CB9"/>
    <w:rsid w:val="001A6559"/>
    <w:rsid w:val="001B19F1"/>
    <w:rsid w:val="001B3B50"/>
    <w:rsid w:val="001C199A"/>
    <w:rsid w:val="001C2A2E"/>
    <w:rsid w:val="001C30C4"/>
    <w:rsid w:val="001D02B8"/>
    <w:rsid w:val="001D4EE7"/>
    <w:rsid w:val="001E0F2D"/>
    <w:rsid w:val="001E4700"/>
    <w:rsid w:val="001E5CB9"/>
    <w:rsid w:val="001F4F2F"/>
    <w:rsid w:val="001F6326"/>
    <w:rsid w:val="001F6855"/>
    <w:rsid w:val="00211618"/>
    <w:rsid w:val="00212EE5"/>
    <w:rsid w:val="002210C1"/>
    <w:rsid w:val="002230DD"/>
    <w:rsid w:val="002234CD"/>
    <w:rsid w:val="00226242"/>
    <w:rsid w:val="00230B39"/>
    <w:rsid w:val="00237695"/>
    <w:rsid w:val="00242E8E"/>
    <w:rsid w:val="00252F28"/>
    <w:rsid w:val="00253428"/>
    <w:rsid w:val="00262F29"/>
    <w:rsid w:val="00272C32"/>
    <w:rsid w:val="00275154"/>
    <w:rsid w:val="00280163"/>
    <w:rsid w:val="00281087"/>
    <w:rsid w:val="00281C14"/>
    <w:rsid w:val="00281D73"/>
    <w:rsid w:val="00286B77"/>
    <w:rsid w:val="00291FB0"/>
    <w:rsid w:val="00293704"/>
    <w:rsid w:val="002945F4"/>
    <w:rsid w:val="002A0E7F"/>
    <w:rsid w:val="002B28EA"/>
    <w:rsid w:val="002B4BBB"/>
    <w:rsid w:val="002B64B7"/>
    <w:rsid w:val="002B7871"/>
    <w:rsid w:val="002B7884"/>
    <w:rsid w:val="002B7FAF"/>
    <w:rsid w:val="002C26C8"/>
    <w:rsid w:val="002D2EC8"/>
    <w:rsid w:val="002D37E5"/>
    <w:rsid w:val="002D3B42"/>
    <w:rsid w:val="002D55B6"/>
    <w:rsid w:val="002D708B"/>
    <w:rsid w:val="002E14E2"/>
    <w:rsid w:val="002E1CF1"/>
    <w:rsid w:val="002E4DF6"/>
    <w:rsid w:val="002E7D8E"/>
    <w:rsid w:val="002F35B7"/>
    <w:rsid w:val="002F4466"/>
    <w:rsid w:val="002F6D97"/>
    <w:rsid w:val="00304D31"/>
    <w:rsid w:val="003058E2"/>
    <w:rsid w:val="00306091"/>
    <w:rsid w:val="003077F9"/>
    <w:rsid w:val="00324344"/>
    <w:rsid w:val="00330EE6"/>
    <w:rsid w:val="00332CB0"/>
    <w:rsid w:val="00336646"/>
    <w:rsid w:val="00342DD1"/>
    <w:rsid w:val="00363A31"/>
    <w:rsid w:val="0036447F"/>
    <w:rsid w:val="00372521"/>
    <w:rsid w:val="00375869"/>
    <w:rsid w:val="0037741B"/>
    <w:rsid w:val="0037799C"/>
    <w:rsid w:val="00381D0D"/>
    <w:rsid w:val="00385C6A"/>
    <w:rsid w:val="00396975"/>
    <w:rsid w:val="003A05E5"/>
    <w:rsid w:val="003A4FBF"/>
    <w:rsid w:val="003A5103"/>
    <w:rsid w:val="003B29DD"/>
    <w:rsid w:val="003B4697"/>
    <w:rsid w:val="003C5362"/>
    <w:rsid w:val="003D64AA"/>
    <w:rsid w:val="003D65E0"/>
    <w:rsid w:val="003D7027"/>
    <w:rsid w:val="003F221C"/>
    <w:rsid w:val="003F25E8"/>
    <w:rsid w:val="003F2B6E"/>
    <w:rsid w:val="0040087C"/>
    <w:rsid w:val="00400A11"/>
    <w:rsid w:val="004058EA"/>
    <w:rsid w:val="00410EC7"/>
    <w:rsid w:val="004175D5"/>
    <w:rsid w:val="00423941"/>
    <w:rsid w:val="004244A4"/>
    <w:rsid w:val="00430AEA"/>
    <w:rsid w:val="00430C3A"/>
    <w:rsid w:val="00430EB2"/>
    <w:rsid w:val="00433DE8"/>
    <w:rsid w:val="0043641E"/>
    <w:rsid w:val="004500D0"/>
    <w:rsid w:val="00451703"/>
    <w:rsid w:val="0045323D"/>
    <w:rsid w:val="00454573"/>
    <w:rsid w:val="004662AA"/>
    <w:rsid w:val="00467F58"/>
    <w:rsid w:val="004726DE"/>
    <w:rsid w:val="00476B91"/>
    <w:rsid w:val="0048740D"/>
    <w:rsid w:val="00490317"/>
    <w:rsid w:val="004918B4"/>
    <w:rsid w:val="00494390"/>
    <w:rsid w:val="004973F7"/>
    <w:rsid w:val="004A3D2E"/>
    <w:rsid w:val="004A5CFF"/>
    <w:rsid w:val="004B2F91"/>
    <w:rsid w:val="004B55A6"/>
    <w:rsid w:val="004B5E48"/>
    <w:rsid w:val="004B5FB6"/>
    <w:rsid w:val="004B779A"/>
    <w:rsid w:val="004B7A48"/>
    <w:rsid w:val="004C4DD1"/>
    <w:rsid w:val="004D01E0"/>
    <w:rsid w:val="004D18F6"/>
    <w:rsid w:val="004E1FFF"/>
    <w:rsid w:val="004F6624"/>
    <w:rsid w:val="005034E8"/>
    <w:rsid w:val="00504B86"/>
    <w:rsid w:val="00505979"/>
    <w:rsid w:val="00505F8C"/>
    <w:rsid w:val="00511F6B"/>
    <w:rsid w:val="00521C6F"/>
    <w:rsid w:val="00524EE6"/>
    <w:rsid w:val="00525791"/>
    <w:rsid w:val="00534E5E"/>
    <w:rsid w:val="005352CC"/>
    <w:rsid w:val="00537065"/>
    <w:rsid w:val="005427CE"/>
    <w:rsid w:val="0055011D"/>
    <w:rsid w:val="00551F1A"/>
    <w:rsid w:val="00555447"/>
    <w:rsid w:val="00557A59"/>
    <w:rsid w:val="00562B5D"/>
    <w:rsid w:val="0057461F"/>
    <w:rsid w:val="00576B1D"/>
    <w:rsid w:val="00592C1F"/>
    <w:rsid w:val="00593957"/>
    <w:rsid w:val="005A03CF"/>
    <w:rsid w:val="005A2B34"/>
    <w:rsid w:val="005A4698"/>
    <w:rsid w:val="005B0E0C"/>
    <w:rsid w:val="005B4868"/>
    <w:rsid w:val="005C0D23"/>
    <w:rsid w:val="005D1E02"/>
    <w:rsid w:val="005E410F"/>
    <w:rsid w:val="005E5A24"/>
    <w:rsid w:val="005F0811"/>
    <w:rsid w:val="005F37AF"/>
    <w:rsid w:val="005F588F"/>
    <w:rsid w:val="00617E2C"/>
    <w:rsid w:val="0063069D"/>
    <w:rsid w:val="00637147"/>
    <w:rsid w:val="0064098B"/>
    <w:rsid w:val="006541FE"/>
    <w:rsid w:val="00657CBF"/>
    <w:rsid w:val="00663820"/>
    <w:rsid w:val="00666716"/>
    <w:rsid w:val="00680138"/>
    <w:rsid w:val="00690D7C"/>
    <w:rsid w:val="0069300B"/>
    <w:rsid w:val="0069399E"/>
    <w:rsid w:val="006A1E6F"/>
    <w:rsid w:val="006A262C"/>
    <w:rsid w:val="006A653C"/>
    <w:rsid w:val="006A68AB"/>
    <w:rsid w:val="006B7129"/>
    <w:rsid w:val="006C0D2F"/>
    <w:rsid w:val="006D03E0"/>
    <w:rsid w:val="006D57CE"/>
    <w:rsid w:val="006E752A"/>
    <w:rsid w:val="006F472D"/>
    <w:rsid w:val="006F7B79"/>
    <w:rsid w:val="00722EA2"/>
    <w:rsid w:val="007327B1"/>
    <w:rsid w:val="007334BB"/>
    <w:rsid w:val="007348FE"/>
    <w:rsid w:val="00741741"/>
    <w:rsid w:val="0074744D"/>
    <w:rsid w:val="00755217"/>
    <w:rsid w:val="007653B9"/>
    <w:rsid w:val="00770B21"/>
    <w:rsid w:val="00770FC9"/>
    <w:rsid w:val="00776343"/>
    <w:rsid w:val="00777FC8"/>
    <w:rsid w:val="00785BFC"/>
    <w:rsid w:val="0079028C"/>
    <w:rsid w:val="00795040"/>
    <w:rsid w:val="007A2288"/>
    <w:rsid w:val="007A3BF9"/>
    <w:rsid w:val="007A4267"/>
    <w:rsid w:val="007B0266"/>
    <w:rsid w:val="007B450D"/>
    <w:rsid w:val="007B6924"/>
    <w:rsid w:val="007C05C0"/>
    <w:rsid w:val="007C33C8"/>
    <w:rsid w:val="007C545C"/>
    <w:rsid w:val="007D19F8"/>
    <w:rsid w:val="007D2771"/>
    <w:rsid w:val="007D5AEC"/>
    <w:rsid w:val="007D6E8B"/>
    <w:rsid w:val="007E00E5"/>
    <w:rsid w:val="007F481A"/>
    <w:rsid w:val="007F5731"/>
    <w:rsid w:val="0081161C"/>
    <w:rsid w:val="00811AB2"/>
    <w:rsid w:val="00814779"/>
    <w:rsid w:val="00815A7F"/>
    <w:rsid w:val="0082228A"/>
    <w:rsid w:val="00825566"/>
    <w:rsid w:val="00826130"/>
    <w:rsid w:val="00826378"/>
    <w:rsid w:val="008304B3"/>
    <w:rsid w:val="00831A84"/>
    <w:rsid w:val="00851231"/>
    <w:rsid w:val="008536C5"/>
    <w:rsid w:val="008543F6"/>
    <w:rsid w:val="00860149"/>
    <w:rsid w:val="00870BDF"/>
    <w:rsid w:val="0087237F"/>
    <w:rsid w:val="00882D42"/>
    <w:rsid w:val="00883059"/>
    <w:rsid w:val="00885CC1"/>
    <w:rsid w:val="008908CC"/>
    <w:rsid w:val="008937E8"/>
    <w:rsid w:val="008A0961"/>
    <w:rsid w:val="008A1097"/>
    <w:rsid w:val="008A2325"/>
    <w:rsid w:val="008A2E3A"/>
    <w:rsid w:val="008A4DD2"/>
    <w:rsid w:val="008B1D1E"/>
    <w:rsid w:val="008B255D"/>
    <w:rsid w:val="008B39AF"/>
    <w:rsid w:val="008C3228"/>
    <w:rsid w:val="008E7746"/>
    <w:rsid w:val="008F05C7"/>
    <w:rsid w:val="00901BCD"/>
    <w:rsid w:val="0090224F"/>
    <w:rsid w:val="0090341F"/>
    <w:rsid w:val="00911FE7"/>
    <w:rsid w:val="00917A98"/>
    <w:rsid w:val="00920735"/>
    <w:rsid w:val="009215AC"/>
    <w:rsid w:val="00922663"/>
    <w:rsid w:val="009309BF"/>
    <w:rsid w:val="00933ED5"/>
    <w:rsid w:val="00935E7C"/>
    <w:rsid w:val="00941C3F"/>
    <w:rsid w:val="00941DAE"/>
    <w:rsid w:val="0094795D"/>
    <w:rsid w:val="00952641"/>
    <w:rsid w:val="00953D17"/>
    <w:rsid w:val="00954508"/>
    <w:rsid w:val="009570EF"/>
    <w:rsid w:val="009572DA"/>
    <w:rsid w:val="00967801"/>
    <w:rsid w:val="00976C0D"/>
    <w:rsid w:val="0098143E"/>
    <w:rsid w:val="00982D08"/>
    <w:rsid w:val="00985EE8"/>
    <w:rsid w:val="00986370"/>
    <w:rsid w:val="00997198"/>
    <w:rsid w:val="00997276"/>
    <w:rsid w:val="009A1FEE"/>
    <w:rsid w:val="009A40C7"/>
    <w:rsid w:val="009B2FDF"/>
    <w:rsid w:val="009C2D8B"/>
    <w:rsid w:val="009D34FF"/>
    <w:rsid w:val="009D4BA4"/>
    <w:rsid w:val="009D5AF6"/>
    <w:rsid w:val="009F22A9"/>
    <w:rsid w:val="009F7DB9"/>
    <w:rsid w:val="00A007D1"/>
    <w:rsid w:val="00A02387"/>
    <w:rsid w:val="00A028AF"/>
    <w:rsid w:val="00A0315E"/>
    <w:rsid w:val="00A03238"/>
    <w:rsid w:val="00A42129"/>
    <w:rsid w:val="00A42BA5"/>
    <w:rsid w:val="00A52997"/>
    <w:rsid w:val="00A67C17"/>
    <w:rsid w:val="00A7335E"/>
    <w:rsid w:val="00A81275"/>
    <w:rsid w:val="00A91199"/>
    <w:rsid w:val="00AA124A"/>
    <w:rsid w:val="00AA500B"/>
    <w:rsid w:val="00AA5F77"/>
    <w:rsid w:val="00AA796F"/>
    <w:rsid w:val="00AB2171"/>
    <w:rsid w:val="00AB2DC6"/>
    <w:rsid w:val="00AB37B8"/>
    <w:rsid w:val="00AB3843"/>
    <w:rsid w:val="00AB6897"/>
    <w:rsid w:val="00AC6C7A"/>
    <w:rsid w:val="00AC6F7A"/>
    <w:rsid w:val="00AD6C25"/>
    <w:rsid w:val="00AE0D5F"/>
    <w:rsid w:val="00AE1310"/>
    <w:rsid w:val="00AE4CB6"/>
    <w:rsid w:val="00AF1B20"/>
    <w:rsid w:val="00AF77BA"/>
    <w:rsid w:val="00B039EB"/>
    <w:rsid w:val="00B07695"/>
    <w:rsid w:val="00B1260D"/>
    <w:rsid w:val="00B30756"/>
    <w:rsid w:val="00B55BBD"/>
    <w:rsid w:val="00B560DD"/>
    <w:rsid w:val="00B606BD"/>
    <w:rsid w:val="00B65B5A"/>
    <w:rsid w:val="00B671A0"/>
    <w:rsid w:val="00B7345F"/>
    <w:rsid w:val="00B943F3"/>
    <w:rsid w:val="00B9743E"/>
    <w:rsid w:val="00BB4320"/>
    <w:rsid w:val="00BC668E"/>
    <w:rsid w:val="00BD4CD8"/>
    <w:rsid w:val="00BD5762"/>
    <w:rsid w:val="00BD60B3"/>
    <w:rsid w:val="00BD6B55"/>
    <w:rsid w:val="00BE0634"/>
    <w:rsid w:val="00BE3874"/>
    <w:rsid w:val="00BE4D05"/>
    <w:rsid w:val="00BE69B6"/>
    <w:rsid w:val="00C061C3"/>
    <w:rsid w:val="00C06518"/>
    <w:rsid w:val="00C1650E"/>
    <w:rsid w:val="00C167AE"/>
    <w:rsid w:val="00C235BC"/>
    <w:rsid w:val="00C26C99"/>
    <w:rsid w:val="00C304CB"/>
    <w:rsid w:val="00C308AA"/>
    <w:rsid w:val="00C35A02"/>
    <w:rsid w:val="00C402E9"/>
    <w:rsid w:val="00C40559"/>
    <w:rsid w:val="00C61D29"/>
    <w:rsid w:val="00C67E95"/>
    <w:rsid w:val="00C761A2"/>
    <w:rsid w:val="00C83A1D"/>
    <w:rsid w:val="00C8497A"/>
    <w:rsid w:val="00C84B0A"/>
    <w:rsid w:val="00C90CE4"/>
    <w:rsid w:val="00CA18E6"/>
    <w:rsid w:val="00CB623A"/>
    <w:rsid w:val="00CC234D"/>
    <w:rsid w:val="00CC5B85"/>
    <w:rsid w:val="00CC6348"/>
    <w:rsid w:val="00CD3554"/>
    <w:rsid w:val="00CD3DA0"/>
    <w:rsid w:val="00CD4382"/>
    <w:rsid w:val="00CD60D2"/>
    <w:rsid w:val="00CD6989"/>
    <w:rsid w:val="00CF2DB1"/>
    <w:rsid w:val="00CF7224"/>
    <w:rsid w:val="00D0383B"/>
    <w:rsid w:val="00D11402"/>
    <w:rsid w:val="00D13958"/>
    <w:rsid w:val="00D233B3"/>
    <w:rsid w:val="00D24391"/>
    <w:rsid w:val="00D25F0A"/>
    <w:rsid w:val="00D41115"/>
    <w:rsid w:val="00D435D7"/>
    <w:rsid w:val="00D44BD1"/>
    <w:rsid w:val="00D46C5A"/>
    <w:rsid w:val="00D576B0"/>
    <w:rsid w:val="00D5789B"/>
    <w:rsid w:val="00D61638"/>
    <w:rsid w:val="00D64663"/>
    <w:rsid w:val="00D70958"/>
    <w:rsid w:val="00D72C89"/>
    <w:rsid w:val="00D740E6"/>
    <w:rsid w:val="00D83CC2"/>
    <w:rsid w:val="00D863A2"/>
    <w:rsid w:val="00D96811"/>
    <w:rsid w:val="00DA351A"/>
    <w:rsid w:val="00DA67E4"/>
    <w:rsid w:val="00DA74F9"/>
    <w:rsid w:val="00DB6FA2"/>
    <w:rsid w:val="00DC653B"/>
    <w:rsid w:val="00DD0563"/>
    <w:rsid w:val="00DD3060"/>
    <w:rsid w:val="00DD3D60"/>
    <w:rsid w:val="00DD3E2A"/>
    <w:rsid w:val="00DE2E81"/>
    <w:rsid w:val="00DE34F5"/>
    <w:rsid w:val="00DE6DBC"/>
    <w:rsid w:val="00DE6E22"/>
    <w:rsid w:val="00DF5684"/>
    <w:rsid w:val="00E008E8"/>
    <w:rsid w:val="00E01309"/>
    <w:rsid w:val="00E11E9A"/>
    <w:rsid w:val="00E140EA"/>
    <w:rsid w:val="00E204AF"/>
    <w:rsid w:val="00E24AB1"/>
    <w:rsid w:val="00E316B3"/>
    <w:rsid w:val="00E40347"/>
    <w:rsid w:val="00E4161A"/>
    <w:rsid w:val="00E5355C"/>
    <w:rsid w:val="00E55261"/>
    <w:rsid w:val="00E554CA"/>
    <w:rsid w:val="00E6141F"/>
    <w:rsid w:val="00E64EEF"/>
    <w:rsid w:val="00E82B1C"/>
    <w:rsid w:val="00E82C5E"/>
    <w:rsid w:val="00E85FD9"/>
    <w:rsid w:val="00E8731E"/>
    <w:rsid w:val="00EA086D"/>
    <w:rsid w:val="00EA5907"/>
    <w:rsid w:val="00EB2883"/>
    <w:rsid w:val="00EC1BD8"/>
    <w:rsid w:val="00EC43FD"/>
    <w:rsid w:val="00ED6147"/>
    <w:rsid w:val="00EE0F9A"/>
    <w:rsid w:val="00EE1A76"/>
    <w:rsid w:val="00EE29FF"/>
    <w:rsid w:val="00F03510"/>
    <w:rsid w:val="00F1055C"/>
    <w:rsid w:val="00F1688C"/>
    <w:rsid w:val="00F174ED"/>
    <w:rsid w:val="00F17C60"/>
    <w:rsid w:val="00F25E24"/>
    <w:rsid w:val="00F314C3"/>
    <w:rsid w:val="00F32027"/>
    <w:rsid w:val="00F34B6E"/>
    <w:rsid w:val="00F355A7"/>
    <w:rsid w:val="00F36F78"/>
    <w:rsid w:val="00F375D4"/>
    <w:rsid w:val="00F4523C"/>
    <w:rsid w:val="00F46A63"/>
    <w:rsid w:val="00F5392A"/>
    <w:rsid w:val="00F557E9"/>
    <w:rsid w:val="00F55BC4"/>
    <w:rsid w:val="00F64C0E"/>
    <w:rsid w:val="00F653AA"/>
    <w:rsid w:val="00F66096"/>
    <w:rsid w:val="00F667EF"/>
    <w:rsid w:val="00F7324A"/>
    <w:rsid w:val="00F74709"/>
    <w:rsid w:val="00F75548"/>
    <w:rsid w:val="00F80E56"/>
    <w:rsid w:val="00F84F96"/>
    <w:rsid w:val="00F873BE"/>
    <w:rsid w:val="00F90D6D"/>
    <w:rsid w:val="00F95C16"/>
    <w:rsid w:val="00FA1025"/>
    <w:rsid w:val="00FA52FC"/>
    <w:rsid w:val="00FA6A6E"/>
    <w:rsid w:val="00FA7092"/>
    <w:rsid w:val="00FB258F"/>
    <w:rsid w:val="00FB2825"/>
    <w:rsid w:val="00FB2EBB"/>
    <w:rsid w:val="00FB7481"/>
    <w:rsid w:val="00FD1567"/>
    <w:rsid w:val="00FD2277"/>
    <w:rsid w:val="00FE65E3"/>
    <w:rsid w:val="00FF168A"/>
    <w:rsid w:val="00FF769B"/>
    <w:rsid w:val="01EE60C7"/>
    <w:rsid w:val="023D11EC"/>
    <w:rsid w:val="02E7540F"/>
    <w:rsid w:val="02F52A07"/>
    <w:rsid w:val="030172FC"/>
    <w:rsid w:val="03D36A52"/>
    <w:rsid w:val="05003953"/>
    <w:rsid w:val="056964FD"/>
    <w:rsid w:val="0593419C"/>
    <w:rsid w:val="05A230AD"/>
    <w:rsid w:val="05DA1BCD"/>
    <w:rsid w:val="05F97C0A"/>
    <w:rsid w:val="065B5F15"/>
    <w:rsid w:val="06AE2A1F"/>
    <w:rsid w:val="07DC7705"/>
    <w:rsid w:val="080A33DF"/>
    <w:rsid w:val="080E1492"/>
    <w:rsid w:val="087F053C"/>
    <w:rsid w:val="088D058F"/>
    <w:rsid w:val="091009F8"/>
    <w:rsid w:val="091C61BE"/>
    <w:rsid w:val="093F541E"/>
    <w:rsid w:val="097546C5"/>
    <w:rsid w:val="0A104757"/>
    <w:rsid w:val="0AC86737"/>
    <w:rsid w:val="0BB814DF"/>
    <w:rsid w:val="0BB91F5A"/>
    <w:rsid w:val="0BCB3396"/>
    <w:rsid w:val="0C7029C4"/>
    <w:rsid w:val="0CC24E27"/>
    <w:rsid w:val="0D580615"/>
    <w:rsid w:val="0E3E7627"/>
    <w:rsid w:val="0EFB112D"/>
    <w:rsid w:val="0F043569"/>
    <w:rsid w:val="0F1E19B2"/>
    <w:rsid w:val="0F340F1C"/>
    <w:rsid w:val="10744A41"/>
    <w:rsid w:val="10F10920"/>
    <w:rsid w:val="11EE67FB"/>
    <w:rsid w:val="11FC68FD"/>
    <w:rsid w:val="124D074A"/>
    <w:rsid w:val="12C74FFD"/>
    <w:rsid w:val="14486EE7"/>
    <w:rsid w:val="14B679D8"/>
    <w:rsid w:val="14FF26A4"/>
    <w:rsid w:val="15A552DC"/>
    <w:rsid w:val="15B419D9"/>
    <w:rsid w:val="165516A2"/>
    <w:rsid w:val="16F470A1"/>
    <w:rsid w:val="18821E92"/>
    <w:rsid w:val="19C90CF1"/>
    <w:rsid w:val="1B272083"/>
    <w:rsid w:val="1B3F1D84"/>
    <w:rsid w:val="1BFE2390"/>
    <w:rsid w:val="1C046DDD"/>
    <w:rsid w:val="1C500D9F"/>
    <w:rsid w:val="1DFE7A9B"/>
    <w:rsid w:val="1E82128C"/>
    <w:rsid w:val="1F052CE9"/>
    <w:rsid w:val="1FAD11D5"/>
    <w:rsid w:val="1FB1492C"/>
    <w:rsid w:val="1FE22B16"/>
    <w:rsid w:val="1FE75105"/>
    <w:rsid w:val="205C753A"/>
    <w:rsid w:val="210165C6"/>
    <w:rsid w:val="227D60A4"/>
    <w:rsid w:val="22BF0F24"/>
    <w:rsid w:val="22DB1E6D"/>
    <w:rsid w:val="23227259"/>
    <w:rsid w:val="2326137B"/>
    <w:rsid w:val="233E7A1F"/>
    <w:rsid w:val="237D501F"/>
    <w:rsid w:val="24977B34"/>
    <w:rsid w:val="24D46E19"/>
    <w:rsid w:val="261E4CC0"/>
    <w:rsid w:val="26494DE7"/>
    <w:rsid w:val="26666CE7"/>
    <w:rsid w:val="274B46F2"/>
    <w:rsid w:val="27A82D32"/>
    <w:rsid w:val="289633CC"/>
    <w:rsid w:val="28FC7461"/>
    <w:rsid w:val="2992244E"/>
    <w:rsid w:val="29E13D58"/>
    <w:rsid w:val="2B5A60B5"/>
    <w:rsid w:val="2BC64C9D"/>
    <w:rsid w:val="2E4A1D74"/>
    <w:rsid w:val="2EC938DC"/>
    <w:rsid w:val="2F197770"/>
    <w:rsid w:val="2F575378"/>
    <w:rsid w:val="2F9B56DE"/>
    <w:rsid w:val="2FE863B8"/>
    <w:rsid w:val="30A713B2"/>
    <w:rsid w:val="30BE1E65"/>
    <w:rsid w:val="31090575"/>
    <w:rsid w:val="31186E79"/>
    <w:rsid w:val="31231A50"/>
    <w:rsid w:val="320609D4"/>
    <w:rsid w:val="3261794A"/>
    <w:rsid w:val="32DA09D0"/>
    <w:rsid w:val="338549AE"/>
    <w:rsid w:val="34F939C6"/>
    <w:rsid w:val="359A6A69"/>
    <w:rsid w:val="36752EAE"/>
    <w:rsid w:val="36B66368"/>
    <w:rsid w:val="36BF5579"/>
    <w:rsid w:val="36E6599B"/>
    <w:rsid w:val="36EC7867"/>
    <w:rsid w:val="37035D94"/>
    <w:rsid w:val="38176CDE"/>
    <w:rsid w:val="398C1496"/>
    <w:rsid w:val="399831E7"/>
    <w:rsid w:val="39B70FFB"/>
    <w:rsid w:val="3A7130A0"/>
    <w:rsid w:val="3B6C40C3"/>
    <w:rsid w:val="3BAD5166"/>
    <w:rsid w:val="3BD338C5"/>
    <w:rsid w:val="3BE953AD"/>
    <w:rsid w:val="3E444B68"/>
    <w:rsid w:val="3E725811"/>
    <w:rsid w:val="3F120118"/>
    <w:rsid w:val="3F3A66A6"/>
    <w:rsid w:val="3F5955FB"/>
    <w:rsid w:val="3FBD0D04"/>
    <w:rsid w:val="3FC3651C"/>
    <w:rsid w:val="3FD302D4"/>
    <w:rsid w:val="40D505A1"/>
    <w:rsid w:val="41046D08"/>
    <w:rsid w:val="417621D7"/>
    <w:rsid w:val="423E1070"/>
    <w:rsid w:val="424E6936"/>
    <w:rsid w:val="426042E3"/>
    <w:rsid w:val="429432BB"/>
    <w:rsid w:val="42AD0250"/>
    <w:rsid w:val="432F756D"/>
    <w:rsid w:val="44064E8E"/>
    <w:rsid w:val="44222203"/>
    <w:rsid w:val="442C5034"/>
    <w:rsid w:val="44F015EF"/>
    <w:rsid w:val="450E027F"/>
    <w:rsid w:val="452E0DAF"/>
    <w:rsid w:val="457048F7"/>
    <w:rsid w:val="45995D15"/>
    <w:rsid w:val="469851BB"/>
    <w:rsid w:val="472B3B91"/>
    <w:rsid w:val="474F49EF"/>
    <w:rsid w:val="47B47F2B"/>
    <w:rsid w:val="47B60F35"/>
    <w:rsid w:val="47EF7B17"/>
    <w:rsid w:val="48E17F24"/>
    <w:rsid w:val="494B1CD4"/>
    <w:rsid w:val="494D63D1"/>
    <w:rsid w:val="4A88348A"/>
    <w:rsid w:val="4BC6220A"/>
    <w:rsid w:val="4BDC4058"/>
    <w:rsid w:val="4C98705E"/>
    <w:rsid w:val="4DC834C2"/>
    <w:rsid w:val="4DC931F6"/>
    <w:rsid w:val="4E080219"/>
    <w:rsid w:val="4E2A3F53"/>
    <w:rsid w:val="4ECF0377"/>
    <w:rsid w:val="4ED715E1"/>
    <w:rsid w:val="4EF033D2"/>
    <w:rsid w:val="501C4FB0"/>
    <w:rsid w:val="50413F80"/>
    <w:rsid w:val="504D0283"/>
    <w:rsid w:val="51446DBB"/>
    <w:rsid w:val="516A0C8A"/>
    <w:rsid w:val="51B80FB0"/>
    <w:rsid w:val="52832F61"/>
    <w:rsid w:val="53151BD1"/>
    <w:rsid w:val="53306A29"/>
    <w:rsid w:val="53761D87"/>
    <w:rsid w:val="53B4600A"/>
    <w:rsid w:val="542C1370"/>
    <w:rsid w:val="543D495A"/>
    <w:rsid w:val="54A24822"/>
    <w:rsid w:val="54B805B2"/>
    <w:rsid w:val="54C06519"/>
    <w:rsid w:val="54C83A9D"/>
    <w:rsid w:val="554B26E3"/>
    <w:rsid w:val="555A5812"/>
    <w:rsid w:val="559D0D63"/>
    <w:rsid w:val="55DC4FB7"/>
    <w:rsid w:val="56234DEE"/>
    <w:rsid w:val="565D2991"/>
    <w:rsid w:val="570A1E39"/>
    <w:rsid w:val="57C4184A"/>
    <w:rsid w:val="58A77456"/>
    <w:rsid w:val="59017D16"/>
    <w:rsid w:val="5A4C7CC5"/>
    <w:rsid w:val="5A525ACA"/>
    <w:rsid w:val="5B4555DD"/>
    <w:rsid w:val="5B481ADF"/>
    <w:rsid w:val="5C0E6B18"/>
    <w:rsid w:val="5CB94906"/>
    <w:rsid w:val="5D513E1A"/>
    <w:rsid w:val="5E0C2A58"/>
    <w:rsid w:val="5E376A7B"/>
    <w:rsid w:val="5E3808EB"/>
    <w:rsid w:val="5E9E03A6"/>
    <w:rsid w:val="5EC41959"/>
    <w:rsid w:val="5EE8675B"/>
    <w:rsid w:val="5EFE12D6"/>
    <w:rsid w:val="5F884483"/>
    <w:rsid w:val="60466652"/>
    <w:rsid w:val="606758C1"/>
    <w:rsid w:val="60997039"/>
    <w:rsid w:val="60EB65D7"/>
    <w:rsid w:val="61402B11"/>
    <w:rsid w:val="61DC6792"/>
    <w:rsid w:val="61E808EE"/>
    <w:rsid w:val="62185FE1"/>
    <w:rsid w:val="622F4E76"/>
    <w:rsid w:val="626A4BB1"/>
    <w:rsid w:val="638F5581"/>
    <w:rsid w:val="64085B34"/>
    <w:rsid w:val="6441733C"/>
    <w:rsid w:val="645A5F50"/>
    <w:rsid w:val="64663C5A"/>
    <w:rsid w:val="64A40884"/>
    <w:rsid w:val="65145315"/>
    <w:rsid w:val="65BF1B4F"/>
    <w:rsid w:val="668054DF"/>
    <w:rsid w:val="672047E0"/>
    <w:rsid w:val="695F2FD2"/>
    <w:rsid w:val="69703F3D"/>
    <w:rsid w:val="69A549DF"/>
    <w:rsid w:val="6A811822"/>
    <w:rsid w:val="6A8955C5"/>
    <w:rsid w:val="6AC31D7D"/>
    <w:rsid w:val="6B0D4399"/>
    <w:rsid w:val="6BEA55BF"/>
    <w:rsid w:val="6C0A5FB9"/>
    <w:rsid w:val="6C5607EE"/>
    <w:rsid w:val="6CE87B32"/>
    <w:rsid w:val="6CEE29CE"/>
    <w:rsid w:val="6DA903C1"/>
    <w:rsid w:val="6DED19BB"/>
    <w:rsid w:val="6E1A1EA2"/>
    <w:rsid w:val="6F002C15"/>
    <w:rsid w:val="6F0E26DE"/>
    <w:rsid w:val="6FE91413"/>
    <w:rsid w:val="702A4145"/>
    <w:rsid w:val="71FF3CB3"/>
    <w:rsid w:val="721028AE"/>
    <w:rsid w:val="728772D5"/>
    <w:rsid w:val="72DC7FCD"/>
    <w:rsid w:val="738374B7"/>
    <w:rsid w:val="738A78F3"/>
    <w:rsid w:val="740E3478"/>
    <w:rsid w:val="74354DA3"/>
    <w:rsid w:val="743D0B4D"/>
    <w:rsid w:val="74956C12"/>
    <w:rsid w:val="74D40211"/>
    <w:rsid w:val="760230EB"/>
    <w:rsid w:val="76AF7940"/>
    <w:rsid w:val="77691F99"/>
    <w:rsid w:val="789A1304"/>
    <w:rsid w:val="78F615D2"/>
    <w:rsid w:val="7A3648EE"/>
    <w:rsid w:val="7B6617D7"/>
    <w:rsid w:val="7C312D74"/>
    <w:rsid w:val="7CDD7AEF"/>
    <w:rsid w:val="7DCE4438"/>
    <w:rsid w:val="7DD848D4"/>
    <w:rsid w:val="7E120165"/>
    <w:rsid w:val="7EC92E19"/>
    <w:rsid w:val="7FA514BB"/>
    <w:rsid w:val="7FA91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2"/>
      <w:jc w:val="both"/>
    </w:pPr>
    <w:rPr>
      <w:rFonts w:ascii="Calibri" w:hAnsi="Calibri" w:eastAsia="仿宋" w:cs="Times New Roman"/>
      <w:kern w:val="2"/>
      <w:sz w:val="28"/>
      <w:szCs w:val="22"/>
      <w:lang w:val="en-US" w:eastAsia="zh-CN" w:bidi="ar-SA"/>
    </w:rPr>
  </w:style>
  <w:style w:type="paragraph" w:styleId="3">
    <w:name w:val="heading 1"/>
    <w:basedOn w:val="1"/>
    <w:next w:val="1"/>
    <w:link w:val="37"/>
    <w:autoRedefine/>
    <w:qFormat/>
    <w:uiPriority w:val="9"/>
    <w:pPr>
      <w:keepNext/>
      <w:keepLines/>
      <w:numPr>
        <w:ilvl w:val="0"/>
        <w:numId w:val="1"/>
      </w:numPr>
      <w:spacing w:beforeLines="100" w:afterLines="100"/>
      <w:jc w:val="center"/>
      <w:outlineLvl w:val="0"/>
    </w:pPr>
    <w:rPr>
      <w:rFonts w:ascii="宋体" w:hAnsi="宋体"/>
      <w:b/>
      <w:bCs/>
      <w:kern w:val="44"/>
      <w:sz w:val="36"/>
      <w:szCs w:val="44"/>
    </w:rPr>
  </w:style>
  <w:style w:type="paragraph" w:styleId="4">
    <w:name w:val="heading 2"/>
    <w:basedOn w:val="1"/>
    <w:next w:val="1"/>
    <w:link w:val="38"/>
    <w:autoRedefine/>
    <w:unhideWhenUsed/>
    <w:qFormat/>
    <w:uiPriority w:val="9"/>
    <w:pPr>
      <w:keepNext/>
      <w:keepLines/>
      <w:numPr>
        <w:ilvl w:val="0"/>
        <w:numId w:val="2"/>
      </w:numPr>
      <w:spacing w:beforeLines="100" w:afterLines="100"/>
      <w:jc w:val="center"/>
      <w:outlineLvl w:val="1"/>
    </w:pPr>
    <w:rPr>
      <w:rFonts w:ascii="Times New Roman" w:hAnsi="Times New Roman" w:eastAsia="黑体"/>
      <w:b/>
      <w:bCs/>
      <w:sz w:val="32"/>
      <w:szCs w:val="32"/>
    </w:rPr>
  </w:style>
  <w:style w:type="paragraph" w:styleId="5">
    <w:name w:val="heading 3"/>
    <w:basedOn w:val="1"/>
    <w:next w:val="1"/>
    <w:link w:val="39"/>
    <w:unhideWhenUsed/>
    <w:qFormat/>
    <w:uiPriority w:val="9"/>
    <w:pPr>
      <w:keepNext/>
      <w:keepLines/>
      <w:numPr>
        <w:ilvl w:val="0"/>
        <w:numId w:val="3"/>
      </w:numPr>
      <w:spacing w:before="100" w:beforeLines="100" w:after="100" w:afterLines="100"/>
      <w:jc w:val="center"/>
      <w:outlineLvl w:val="2"/>
    </w:pPr>
    <w:rPr>
      <w:rFonts w:ascii="宋体" w:hAnsi="宋体" w:eastAsia="黑体"/>
      <w:b/>
      <w:bCs/>
      <w:sz w:val="32"/>
      <w:szCs w:val="32"/>
    </w:rPr>
  </w:style>
  <w:style w:type="paragraph" w:styleId="6">
    <w:name w:val="heading 4"/>
    <w:basedOn w:val="1"/>
    <w:next w:val="1"/>
    <w:link w:val="40"/>
    <w:autoRedefine/>
    <w:unhideWhenUsed/>
    <w:qFormat/>
    <w:uiPriority w:val="9"/>
    <w:pPr>
      <w:keepNext/>
      <w:keepLines/>
      <w:numPr>
        <w:ilvl w:val="0"/>
        <w:numId w:val="4"/>
      </w:numPr>
      <w:spacing w:before="40" w:after="80"/>
      <w:outlineLvl w:val="3"/>
    </w:pPr>
    <w:rPr>
      <w:rFonts w:ascii="仿宋" w:hAnsi="仿宋" w:eastAsia="黑体"/>
      <w:b/>
      <w:bCs/>
      <w:sz w:val="30"/>
      <w:szCs w:val="28"/>
      <w:lang w:val="zh-CN"/>
    </w:rPr>
  </w:style>
  <w:style w:type="paragraph" w:styleId="7">
    <w:name w:val="heading 5"/>
    <w:basedOn w:val="1"/>
    <w:next w:val="1"/>
    <w:link w:val="41"/>
    <w:unhideWhenUsed/>
    <w:qFormat/>
    <w:uiPriority w:val="9"/>
    <w:pPr>
      <w:keepNext/>
      <w:keepLines/>
      <w:numPr>
        <w:ilvl w:val="0"/>
        <w:numId w:val="5"/>
      </w:numPr>
      <w:spacing w:beforeLines="50" w:afterLines="50"/>
      <w:outlineLvl w:val="4"/>
    </w:pPr>
    <w:rPr>
      <w:rFonts w:ascii="宋体" w:hAnsi="宋体"/>
      <w:b/>
      <w:bCs/>
      <w:sz w:val="30"/>
      <w:szCs w:val="28"/>
    </w:rPr>
  </w:style>
  <w:style w:type="paragraph" w:styleId="8">
    <w:name w:val="heading 6"/>
    <w:basedOn w:val="1"/>
    <w:next w:val="1"/>
    <w:link w:val="42"/>
    <w:unhideWhenUsed/>
    <w:qFormat/>
    <w:uiPriority w:val="9"/>
    <w:pPr>
      <w:keepNext/>
      <w:keepLines/>
      <w:numPr>
        <w:ilvl w:val="0"/>
        <w:numId w:val="6"/>
      </w:numPr>
      <w:outlineLvl w:val="5"/>
    </w:pPr>
    <w:rPr>
      <w:rFonts w:ascii="Times New Roman" w:hAnsi="Times New Roman" w:eastAsia="宋体"/>
      <w:b/>
      <w:bCs/>
      <w:szCs w:val="24"/>
    </w:rPr>
  </w:style>
  <w:style w:type="paragraph" w:styleId="9">
    <w:name w:val="heading 7"/>
    <w:basedOn w:val="1"/>
    <w:next w:val="1"/>
    <w:link w:val="43"/>
    <w:unhideWhenUsed/>
    <w:qFormat/>
    <w:uiPriority w:val="9"/>
    <w:pPr>
      <w:keepNext/>
      <w:keepLines/>
      <w:numPr>
        <w:ilvl w:val="0"/>
        <w:numId w:val="7"/>
      </w:numPr>
      <w:outlineLvl w:val="6"/>
    </w:pPr>
    <w:rPr>
      <w:b/>
      <w:bCs/>
      <w:szCs w:val="24"/>
    </w:rPr>
  </w:style>
  <w:style w:type="character" w:default="1" w:styleId="31">
    <w:name w:val="Default Paragraph Font"/>
    <w:semiHidden/>
    <w:unhideWhenUsed/>
    <w:qFormat/>
    <w:uiPriority w:val="1"/>
  </w:style>
  <w:style w:type="table" w:default="1" w:styleId="2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10">
    <w:name w:val="toc 7"/>
    <w:basedOn w:val="1"/>
    <w:next w:val="1"/>
    <w:autoRedefine/>
    <w:unhideWhenUsed/>
    <w:qFormat/>
    <w:uiPriority w:val="39"/>
    <w:pPr>
      <w:ind w:left="1680"/>
      <w:jc w:val="left"/>
    </w:pPr>
    <w:rPr>
      <w:rFonts w:asciiTheme="minorHAnsi" w:hAnsiTheme="minorHAnsi" w:cstheme="minorHAnsi"/>
      <w:sz w:val="18"/>
      <w:szCs w:val="18"/>
    </w:rPr>
  </w:style>
  <w:style w:type="paragraph" w:styleId="11">
    <w:name w:val="annotation text"/>
    <w:basedOn w:val="1"/>
    <w:link w:val="51"/>
    <w:semiHidden/>
    <w:unhideWhenUsed/>
    <w:qFormat/>
    <w:uiPriority w:val="99"/>
    <w:pPr>
      <w:jc w:val="left"/>
    </w:pPr>
  </w:style>
  <w:style w:type="paragraph" w:styleId="12">
    <w:name w:val="Body Text"/>
    <w:basedOn w:val="1"/>
    <w:link w:val="81"/>
    <w:semiHidden/>
    <w:unhideWhenUsed/>
    <w:qFormat/>
    <w:uiPriority w:val="99"/>
    <w:pPr>
      <w:spacing w:after="120"/>
    </w:pPr>
  </w:style>
  <w:style w:type="paragraph" w:styleId="13">
    <w:name w:val="toc 5"/>
    <w:basedOn w:val="1"/>
    <w:next w:val="1"/>
    <w:autoRedefine/>
    <w:unhideWhenUsed/>
    <w:qFormat/>
    <w:uiPriority w:val="39"/>
    <w:pPr>
      <w:ind w:left="1120"/>
      <w:jc w:val="left"/>
    </w:pPr>
    <w:rPr>
      <w:rFonts w:asciiTheme="minorHAnsi" w:hAnsiTheme="minorHAnsi" w:cstheme="minorHAnsi"/>
      <w:sz w:val="18"/>
      <w:szCs w:val="18"/>
    </w:rPr>
  </w:style>
  <w:style w:type="paragraph" w:styleId="14">
    <w:name w:val="toc 3"/>
    <w:basedOn w:val="1"/>
    <w:next w:val="1"/>
    <w:unhideWhenUsed/>
    <w:qFormat/>
    <w:uiPriority w:val="39"/>
    <w:pPr>
      <w:ind w:left="560"/>
      <w:jc w:val="left"/>
    </w:pPr>
    <w:rPr>
      <w:rFonts w:asciiTheme="minorHAnsi" w:hAnsiTheme="minorHAnsi" w:cstheme="minorHAnsi"/>
      <w:i/>
      <w:iCs/>
      <w:sz w:val="20"/>
      <w:szCs w:val="20"/>
    </w:rPr>
  </w:style>
  <w:style w:type="paragraph" w:styleId="15">
    <w:name w:val="toc 8"/>
    <w:basedOn w:val="1"/>
    <w:next w:val="1"/>
    <w:unhideWhenUsed/>
    <w:qFormat/>
    <w:uiPriority w:val="39"/>
    <w:pPr>
      <w:ind w:left="1960"/>
      <w:jc w:val="left"/>
    </w:pPr>
    <w:rPr>
      <w:rFonts w:asciiTheme="minorHAnsi" w:hAnsiTheme="minorHAnsi" w:cstheme="minorHAnsi"/>
      <w:sz w:val="18"/>
      <w:szCs w:val="18"/>
    </w:rPr>
  </w:style>
  <w:style w:type="paragraph" w:styleId="16">
    <w:name w:val="Balloon Text"/>
    <w:basedOn w:val="1"/>
    <w:link w:val="53"/>
    <w:semiHidden/>
    <w:unhideWhenUsed/>
    <w:qFormat/>
    <w:uiPriority w:val="99"/>
    <w:pPr>
      <w:spacing w:line="240" w:lineRule="auto"/>
    </w:pPr>
    <w:rPr>
      <w:sz w:val="18"/>
      <w:szCs w:val="18"/>
    </w:rPr>
  </w:style>
  <w:style w:type="paragraph" w:styleId="17">
    <w:name w:val="footer"/>
    <w:basedOn w:val="1"/>
    <w:link w:val="48"/>
    <w:unhideWhenUsed/>
    <w:qFormat/>
    <w:uiPriority w:val="99"/>
    <w:pPr>
      <w:tabs>
        <w:tab w:val="center" w:pos="4153"/>
        <w:tab w:val="right" w:pos="8306"/>
      </w:tabs>
      <w:snapToGrid w:val="0"/>
      <w:spacing w:line="240" w:lineRule="auto"/>
      <w:jc w:val="left"/>
    </w:pPr>
    <w:rPr>
      <w:sz w:val="18"/>
      <w:szCs w:val="18"/>
    </w:rPr>
  </w:style>
  <w:style w:type="paragraph" w:styleId="18">
    <w:name w:val="header"/>
    <w:basedOn w:val="1"/>
    <w:link w:val="4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9">
    <w:name w:val="toc 1"/>
    <w:basedOn w:val="1"/>
    <w:next w:val="1"/>
    <w:unhideWhenUsed/>
    <w:qFormat/>
    <w:uiPriority w:val="39"/>
    <w:pPr>
      <w:spacing w:before="120" w:after="120"/>
      <w:jc w:val="left"/>
    </w:pPr>
    <w:rPr>
      <w:rFonts w:asciiTheme="minorHAnsi" w:hAnsiTheme="minorHAnsi" w:cstheme="minorHAnsi"/>
      <w:b/>
      <w:bCs/>
      <w:caps/>
      <w:sz w:val="20"/>
      <w:szCs w:val="20"/>
    </w:rPr>
  </w:style>
  <w:style w:type="paragraph" w:styleId="20">
    <w:name w:val="toc 4"/>
    <w:basedOn w:val="1"/>
    <w:next w:val="1"/>
    <w:unhideWhenUsed/>
    <w:qFormat/>
    <w:uiPriority w:val="39"/>
    <w:pPr>
      <w:ind w:left="840"/>
      <w:jc w:val="left"/>
    </w:pPr>
    <w:rPr>
      <w:rFonts w:asciiTheme="minorHAnsi" w:hAnsiTheme="minorHAnsi" w:cstheme="minorHAnsi"/>
      <w:sz w:val="18"/>
      <w:szCs w:val="18"/>
    </w:rPr>
  </w:style>
  <w:style w:type="paragraph" w:styleId="21">
    <w:name w:val="toc 6"/>
    <w:basedOn w:val="1"/>
    <w:next w:val="1"/>
    <w:unhideWhenUsed/>
    <w:qFormat/>
    <w:uiPriority w:val="39"/>
    <w:pPr>
      <w:ind w:left="1400"/>
      <w:jc w:val="left"/>
    </w:pPr>
    <w:rPr>
      <w:rFonts w:asciiTheme="minorHAnsi" w:hAnsiTheme="minorHAnsi" w:cstheme="minorHAnsi"/>
      <w:sz w:val="18"/>
      <w:szCs w:val="18"/>
    </w:rPr>
  </w:style>
  <w:style w:type="paragraph" w:styleId="22">
    <w:name w:val="toc 2"/>
    <w:basedOn w:val="1"/>
    <w:next w:val="1"/>
    <w:unhideWhenUsed/>
    <w:qFormat/>
    <w:uiPriority w:val="39"/>
    <w:pPr>
      <w:ind w:left="280"/>
      <w:jc w:val="left"/>
    </w:pPr>
    <w:rPr>
      <w:rFonts w:asciiTheme="minorHAnsi" w:hAnsiTheme="minorHAnsi" w:cstheme="minorHAnsi"/>
      <w:smallCaps/>
      <w:sz w:val="20"/>
      <w:szCs w:val="20"/>
    </w:rPr>
  </w:style>
  <w:style w:type="paragraph" w:styleId="23">
    <w:name w:val="toc 9"/>
    <w:basedOn w:val="1"/>
    <w:next w:val="1"/>
    <w:unhideWhenUsed/>
    <w:qFormat/>
    <w:uiPriority w:val="39"/>
    <w:pPr>
      <w:ind w:left="2240"/>
      <w:jc w:val="left"/>
    </w:pPr>
    <w:rPr>
      <w:rFonts w:asciiTheme="minorHAnsi" w:hAnsiTheme="minorHAnsi" w:cstheme="minorHAnsi"/>
      <w:sz w:val="18"/>
      <w:szCs w:val="18"/>
    </w:rPr>
  </w:style>
  <w:style w:type="paragraph" w:styleId="24">
    <w:name w:val="HTML Preformatted"/>
    <w:basedOn w:val="1"/>
    <w:link w:val="58"/>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宋体" w:hAnsi="宋体" w:eastAsia="宋体" w:cs="宋体"/>
      <w:kern w:val="0"/>
      <w:sz w:val="24"/>
      <w:szCs w:val="24"/>
    </w:rPr>
  </w:style>
  <w:style w:type="paragraph" w:styleId="25">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Cs w:val="24"/>
    </w:rPr>
  </w:style>
  <w:style w:type="paragraph" w:styleId="26">
    <w:name w:val="Title"/>
    <w:basedOn w:val="1"/>
    <w:next w:val="1"/>
    <w:link w:val="80"/>
    <w:qFormat/>
    <w:uiPriority w:val="0"/>
    <w:pPr>
      <w:spacing w:before="240" w:after="60" w:line="240" w:lineRule="auto"/>
      <w:ind w:firstLine="0"/>
      <w:jc w:val="center"/>
      <w:outlineLvl w:val="0"/>
    </w:pPr>
    <w:rPr>
      <w:rFonts w:ascii="Arial" w:hAnsi="Arial" w:cs="Arial"/>
      <w:b/>
      <w:bCs/>
      <w:sz w:val="32"/>
      <w:szCs w:val="32"/>
    </w:rPr>
  </w:style>
  <w:style w:type="paragraph" w:styleId="27">
    <w:name w:val="annotation subject"/>
    <w:basedOn w:val="11"/>
    <w:next w:val="11"/>
    <w:link w:val="52"/>
    <w:semiHidden/>
    <w:unhideWhenUsed/>
    <w:qFormat/>
    <w:uiPriority w:val="99"/>
    <w:rPr>
      <w:b/>
      <w:bCs/>
    </w:rPr>
  </w:style>
  <w:style w:type="paragraph" w:styleId="28">
    <w:name w:val="Body Text First Indent"/>
    <w:basedOn w:val="12"/>
    <w:link w:val="82"/>
    <w:qFormat/>
    <w:uiPriority w:val="0"/>
    <w:pPr>
      <w:tabs>
        <w:tab w:val="center" w:pos="0"/>
      </w:tabs>
      <w:spacing w:before="240" w:after="240" w:line="500" w:lineRule="exact"/>
      <w:ind w:firstLine="420" w:firstLineChars="200"/>
    </w:pPr>
    <w:rPr>
      <w:rFonts w:ascii="Times New Roman" w:hAnsi="Times New Roman" w:eastAsia="宋体"/>
    </w:rPr>
  </w:style>
  <w:style w:type="table" w:styleId="30">
    <w:name w:val="Table Grid"/>
    <w:basedOn w:val="2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bCs/>
    </w:rPr>
  </w:style>
  <w:style w:type="character" w:styleId="33">
    <w:name w:val="FollowedHyperlink"/>
    <w:basedOn w:val="31"/>
    <w:autoRedefine/>
    <w:semiHidden/>
    <w:unhideWhenUsed/>
    <w:qFormat/>
    <w:uiPriority w:val="99"/>
    <w:rPr>
      <w:color w:val="954F72"/>
      <w:u w:val="single"/>
    </w:rPr>
  </w:style>
  <w:style w:type="character" w:styleId="34">
    <w:name w:val="Emphasis"/>
    <w:basedOn w:val="31"/>
    <w:qFormat/>
    <w:uiPriority w:val="20"/>
    <w:rPr>
      <w:i/>
      <w:iCs/>
    </w:rPr>
  </w:style>
  <w:style w:type="character" w:styleId="35">
    <w:name w:val="Hyperlink"/>
    <w:basedOn w:val="31"/>
    <w:autoRedefine/>
    <w:unhideWhenUsed/>
    <w:qFormat/>
    <w:uiPriority w:val="99"/>
    <w:rPr>
      <w:color w:val="0563C1"/>
      <w:u w:val="single"/>
    </w:rPr>
  </w:style>
  <w:style w:type="character" w:styleId="36">
    <w:name w:val="annotation reference"/>
    <w:basedOn w:val="31"/>
    <w:semiHidden/>
    <w:unhideWhenUsed/>
    <w:qFormat/>
    <w:uiPriority w:val="99"/>
    <w:rPr>
      <w:sz w:val="21"/>
      <w:szCs w:val="21"/>
    </w:rPr>
  </w:style>
  <w:style w:type="character" w:customStyle="1" w:styleId="37">
    <w:name w:val="标题 1 字符"/>
    <w:basedOn w:val="31"/>
    <w:link w:val="3"/>
    <w:autoRedefine/>
    <w:qFormat/>
    <w:uiPriority w:val="9"/>
    <w:rPr>
      <w:rFonts w:ascii="宋体" w:hAnsi="宋体" w:eastAsia="仿宋" w:cs="Times New Roman"/>
      <w:b/>
      <w:bCs/>
      <w:kern w:val="44"/>
      <w:sz w:val="36"/>
      <w:szCs w:val="44"/>
    </w:rPr>
  </w:style>
  <w:style w:type="character" w:customStyle="1" w:styleId="38">
    <w:name w:val="标题 2 字符"/>
    <w:basedOn w:val="31"/>
    <w:link w:val="4"/>
    <w:qFormat/>
    <w:uiPriority w:val="9"/>
    <w:rPr>
      <w:rFonts w:ascii="Times New Roman" w:hAnsi="Times New Roman" w:eastAsia="黑体" w:cs="Times New Roman"/>
      <w:b/>
      <w:bCs/>
      <w:sz w:val="32"/>
      <w:szCs w:val="32"/>
    </w:rPr>
  </w:style>
  <w:style w:type="character" w:customStyle="1" w:styleId="39">
    <w:name w:val="标题 3 字符"/>
    <w:basedOn w:val="31"/>
    <w:link w:val="5"/>
    <w:autoRedefine/>
    <w:qFormat/>
    <w:uiPriority w:val="9"/>
    <w:rPr>
      <w:rFonts w:ascii="宋体" w:hAnsi="宋体" w:eastAsia="黑体"/>
      <w:b/>
      <w:bCs/>
      <w:kern w:val="2"/>
      <w:sz w:val="32"/>
      <w:szCs w:val="32"/>
    </w:rPr>
  </w:style>
  <w:style w:type="character" w:customStyle="1" w:styleId="40">
    <w:name w:val="标题 4 字符"/>
    <w:basedOn w:val="31"/>
    <w:link w:val="6"/>
    <w:autoRedefine/>
    <w:qFormat/>
    <w:uiPriority w:val="9"/>
    <w:rPr>
      <w:rFonts w:ascii="仿宋" w:hAnsi="仿宋" w:eastAsia="黑体"/>
      <w:b/>
      <w:bCs/>
      <w:kern w:val="2"/>
      <w:sz w:val="30"/>
      <w:szCs w:val="28"/>
      <w:lang w:val="zh-CN"/>
    </w:rPr>
  </w:style>
  <w:style w:type="character" w:customStyle="1" w:styleId="41">
    <w:name w:val="标题 5 字符"/>
    <w:basedOn w:val="31"/>
    <w:link w:val="7"/>
    <w:autoRedefine/>
    <w:qFormat/>
    <w:uiPriority w:val="9"/>
    <w:rPr>
      <w:rFonts w:ascii="宋体" w:hAnsi="宋体" w:eastAsia="仿宋" w:cs="Times New Roman"/>
      <w:b/>
      <w:bCs/>
      <w:sz w:val="30"/>
      <w:szCs w:val="28"/>
    </w:rPr>
  </w:style>
  <w:style w:type="character" w:customStyle="1" w:styleId="42">
    <w:name w:val="标题 6 字符"/>
    <w:basedOn w:val="31"/>
    <w:link w:val="8"/>
    <w:autoRedefine/>
    <w:qFormat/>
    <w:uiPriority w:val="9"/>
    <w:rPr>
      <w:rFonts w:ascii="Times New Roman" w:hAnsi="Times New Roman" w:eastAsia="宋体" w:cs="Times New Roman"/>
      <w:b/>
      <w:bCs/>
      <w:sz w:val="28"/>
      <w:szCs w:val="24"/>
    </w:rPr>
  </w:style>
  <w:style w:type="character" w:customStyle="1" w:styleId="43">
    <w:name w:val="标题 7 字符"/>
    <w:basedOn w:val="31"/>
    <w:link w:val="9"/>
    <w:autoRedefine/>
    <w:qFormat/>
    <w:uiPriority w:val="9"/>
    <w:rPr>
      <w:rFonts w:ascii="Calibri" w:hAnsi="Calibri" w:eastAsia="仿宋" w:cs="Times New Roman"/>
      <w:b/>
      <w:bCs/>
      <w:sz w:val="28"/>
      <w:szCs w:val="24"/>
    </w:rPr>
  </w:style>
  <w:style w:type="paragraph" w:styleId="44">
    <w:name w:val="List Paragraph"/>
    <w:basedOn w:val="1"/>
    <w:link w:val="45"/>
    <w:autoRedefine/>
    <w:qFormat/>
    <w:uiPriority w:val="0"/>
    <w:pPr>
      <w:ind w:firstLine="420" w:firstLineChars="200"/>
    </w:pPr>
    <w:rPr>
      <w:rFonts w:eastAsia="宋体"/>
      <w:kern w:val="0"/>
      <w:sz w:val="24"/>
      <w:szCs w:val="20"/>
    </w:rPr>
  </w:style>
  <w:style w:type="character" w:customStyle="1" w:styleId="45">
    <w:name w:val="列表段落 字符"/>
    <w:link w:val="44"/>
    <w:autoRedefine/>
    <w:qFormat/>
    <w:uiPriority w:val="0"/>
    <w:rPr>
      <w:rFonts w:ascii="Calibri" w:hAnsi="Calibri" w:eastAsia="宋体" w:cs="Times New Roman"/>
      <w:kern w:val="0"/>
      <w:sz w:val="24"/>
      <w:szCs w:val="20"/>
    </w:rPr>
  </w:style>
  <w:style w:type="paragraph" w:customStyle="1" w:styleId="46">
    <w:name w:val="TOC 标题1"/>
    <w:basedOn w:val="3"/>
    <w:next w:val="1"/>
    <w:autoRedefine/>
    <w:unhideWhenUsed/>
    <w:qFormat/>
    <w:uiPriority w:val="39"/>
    <w:pPr>
      <w:widowControl/>
      <w:numPr>
        <w:numId w:val="0"/>
      </w:numPr>
      <w:spacing w:beforeLines="0" w:afterLines="0" w:line="259" w:lineRule="auto"/>
      <w:jc w:val="left"/>
      <w:outlineLvl w:val="9"/>
    </w:pPr>
    <w:rPr>
      <w:rFonts w:ascii="Times New Roman" w:hAnsi="Times New Roman" w:eastAsia="宋体"/>
      <w:b w:val="0"/>
      <w:bCs w:val="0"/>
      <w:color w:val="2E74B5"/>
      <w:kern w:val="0"/>
      <w:sz w:val="32"/>
      <w:szCs w:val="32"/>
    </w:rPr>
  </w:style>
  <w:style w:type="character" w:customStyle="1" w:styleId="47">
    <w:name w:val="页眉 字符"/>
    <w:basedOn w:val="31"/>
    <w:link w:val="18"/>
    <w:autoRedefine/>
    <w:qFormat/>
    <w:uiPriority w:val="99"/>
    <w:rPr>
      <w:rFonts w:ascii="Calibri" w:hAnsi="Calibri" w:eastAsia="仿宋" w:cs="Times New Roman"/>
      <w:sz w:val="18"/>
      <w:szCs w:val="18"/>
    </w:rPr>
  </w:style>
  <w:style w:type="character" w:customStyle="1" w:styleId="48">
    <w:name w:val="页脚 字符"/>
    <w:basedOn w:val="31"/>
    <w:link w:val="17"/>
    <w:autoRedefine/>
    <w:qFormat/>
    <w:uiPriority w:val="99"/>
    <w:rPr>
      <w:rFonts w:ascii="Calibri" w:hAnsi="Calibri" w:eastAsia="仿宋" w:cs="Times New Roman"/>
      <w:sz w:val="18"/>
      <w:szCs w:val="18"/>
    </w:rPr>
  </w:style>
  <w:style w:type="character" w:customStyle="1" w:styleId="49">
    <w:name w:val="apple-converted-space"/>
    <w:basedOn w:val="31"/>
    <w:autoRedefine/>
    <w:qFormat/>
    <w:uiPriority w:val="0"/>
  </w:style>
  <w:style w:type="paragraph" w:customStyle="1" w:styleId="5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51">
    <w:name w:val="批注文字 字符"/>
    <w:basedOn w:val="31"/>
    <w:link w:val="11"/>
    <w:autoRedefine/>
    <w:semiHidden/>
    <w:qFormat/>
    <w:uiPriority w:val="99"/>
    <w:rPr>
      <w:rFonts w:ascii="Calibri" w:hAnsi="Calibri" w:eastAsia="仿宋" w:cs="Times New Roman"/>
      <w:sz w:val="28"/>
    </w:rPr>
  </w:style>
  <w:style w:type="character" w:customStyle="1" w:styleId="52">
    <w:name w:val="批注主题 字符"/>
    <w:basedOn w:val="51"/>
    <w:link w:val="27"/>
    <w:autoRedefine/>
    <w:semiHidden/>
    <w:qFormat/>
    <w:uiPriority w:val="99"/>
    <w:rPr>
      <w:rFonts w:ascii="Calibri" w:hAnsi="Calibri" w:eastAsia="仿宋" w:cs="Times New Roman"/>
      <w:b/>
      <w:bCs/>
      <w:sz w:val="28"/>
    </w:rPr>
  </w:style>
  <w:style w:type="character" w:customStyle="1" w:styleId="53">
    <w:name w:val="批注框文本 字符"/>
    <w:basedOn w:val="31"/>
    <w:link w:val="16"/>
    <w:autoRedefine/>
    <w:semiHidden/>
    <w:qFormat/>
    <w:uiPriority w:val="99"/>
    <w:rPr>
      <w:rFonts w:ascii="Calibri" w:hAnsi="Calibri" w:eastAsia="仿宋" w:cs="Times New Roman"/>
      <w:sz w:val="18"/>
      <w:szCs w:val="18"/>
    </w:rPr>
  </w:style>
  <w:style w:type="paragraph" w:customStyle="1" w:styleId="54">
    <w:name w:val="reader-word-layer"/>
    <w:basedOn w:val="1"/>
    <w:autoRedefine/>
    <w:qFormat/>
    <w:uiPriority w:val="0"/>
    <w:pPr>
      <w:widowControl/>
      <w:spacing w:before="100" w:beforeAutospacing="1" w:after="100" w:afterAutospacing="1" w:line="240" w:lineRule="auto"/>
      <w:jc w:val="left"/>
    </w:pPr>
    <w:rPr>
      <w:rFonts w:ascii="宋体" w:hAnsi="宋体" w:eastAsia="宋体" w:cs="宋体"/>
      <w:kern w:val="0"/>
      <w:szCs w:val="24"/>
    </w:rPr>
  </w:style>
  <w:style w:type="paragraph" w:customStyle="1" w:styleId="55">
    <w:name w:val="1-正文"/>
    <w:basedOn w:val="1"/>
    <w:link w:val="56"/>
    <w:autoRedefine/>
    <w:qFormat/>
    <w:uiPriority w:val="0"/>
    <w:rPr>
      <w:rFonts w:ascii="宋体" w:hAnsi="宋体"/>
    </w:rPr>
  </w:style>
  <w:style w:type="character" w:customStyle="1" w:styleId="56">
    <w:name w:val="1-正文 Char"/>
    <w:basedOn w:val="31"/>
    <w:link w:val="55"/>
    <w:autoRedefine/>
    <w:qFormat/>
    <w:uiPriority w:val="0"/>
    <w:rPr>
      <w:rFonts w:ascii="宋体" w:hAnsi="宋体" w:eastAsia="仿宋" w:cs="Times New Roman"/>
      <w:sz w:val="28"/>
    </w:rPr>
  </w:style>
  <w:style w:type="paragraph" w:styleId="57">
    <w:name w:val="No Spacing"/>
    <w:autoRedefine/>
    <w:qFormat/>
    <w:uiPriority w:val="1"/>
    <w:pPr>
      <w:widowControl w:val="0"/>
      <w:ind w:firstLine="482"/>
      <w:jc w:val="both"/>
    </w:pPr>
    <w:rPr>
      <w:rFonts w:ascii="Calibri" w:hAnsi="Calibri" w:eastAsia="仿宋" w:cs="Times New Roman"/>
      <w:kern w:val="2"/>
      <w:sz w:val="28"/>
      <w:szCs w:val="22"/>
      <w:lang w:val="en-US" w:eastAsia="zh-CN" w:bidi="ar-SA"/>
    </w:rPr>
  </w:style>
  <w:style w:type="character" w:customStyle="1" w:styleId="58">
    <w:name w:val="HTML 预设格式 字符"/>
    <w:basedOn w:val="31"/>
    <w:link w:val="24"/>
    <w:autoRedefine/>
    <w:semiHidden/>
    <w:qFormat/>
    <w:uiPriority w:val="99"/>
    <w:rPr>
      <w:rFonts w:ascii="宋体" w:hAnsi="宋体" w:eastAsia="宋体" w:cs="宋体"/>
      <w:kern w:val="0"/>
      <w:sz w:val="24"/>
      <w:szCs w:val="24"/>
    </w:rPr>
  </w:style>
  <w:style w:type="character" w:customStyle="1" w:styleId="59">
    <w:name w:val="bjh-p"/>
    <w:basedOn w:val="31"/>
    <w:autoRedefine/>
    <w:qFormat/>
    <w:uiPriority w:val="0"/>
  </w:style>
  <w:style w:type="paragraph" w:customStyle="1" w:styleId="60">
    <w:name w:val="表内容"/>
    <w:basedOn w:val="1"/>
    <w:link w:val="61"/>
    <w:qFormat/>
    <w:uiPriority w:val="0"/>
    <w:pPr>
      <w:widowControl/>
      <w:spacing w:line="240" w:lineRule="auto"/>
      <w:ind w:firstLine="0"/>
      <w:jc w:val="left"/>
    </w:pPr>
    <w:rPr>
      <w:rFonts w:ascii="Times New Roman" w:hAnsi="Times New Roman" w:eastAsia="宋体" w:cs="宋体"/>
      <w:kern w:val="0"/>
      <w:sz w:val="18"/>
      <w:szCs w:val="20"/>
    </w:rPr>
  </w:style>
  <w:style w:type="character" w:customStyle="1" w:styleId="61">
    <w:name w:val="表内容 字符"/>
    <w:basedOn w:val="31"/>
    <w:link w:val="60"/>
    <w:autoRedefine/>
    <w:qFormat/>
    <w:uiPriority w:val="0"/>
    <w:rPr>
      <w:rFonts w:ascii="Times New Roman" w:hAnsi="Times New Roman" w:eastAsia="宋体" w:cs="宋体"/>
      <w:kern w:val="0"/>
      <w:sz w:val="18"/>
      <w:szCs w:val="20"/>
    </w:rPr>
  </w:style>
  <w:style w:type="character" w:customStyle="1" w:styleId="62">
    <w:name w:val="表内容 Char"/>
    <w:basedOn w:val="31"/>
    <w:autoRedefine/>
    <w:qFormat/>
    <w:uiPriority w:val="0"/>
    <w:rPr>
      <w:rFonts w:ascii="Times New Roman" w:hAnsi="Times New Roman"/>
      <w:sz w:val="22"/>
    </w:rPr>
  </w:style>
  <w:style w:type="paragraph" w:customStyle="1" w:styleId="63">
    <w:name w:val="p0"/>
    <w:basedOn w:val="1"/>
    <w:autoRedefine/>
    <w:qFormat/>
    <w:uiPriority w:val="0"/>
    <w:pPr>
      <w:widowControl/>
      <w:spacing w:before="100" w:beforeAutospacing="1" w:after="100" w:afterAutospacing="1" w:line="240" w:lineRule="auto"/>
      <w:ind w:firstLine="0"/>
      <w:jc w:val="left"/>
    </w:pPr>
    <w:rPr>
      <w:rFonts w:ascii="宋体" w:hAnsi="宋体" w:eastAsia="宋体"/>
      <w:kern w:val="0"/>
      <w:sz w:val="24"/>
      <w:szCs w:val="24"/>
    </w:rPr>
  </w:style>
  <w:style w:type="character" w:customStyle="1" w:styleId="64">
    <w:name w:val="NormalCharacter"/>
    <w:autoRedefine/>
    <w:semiHidden/>
    <w:qFormat/>
    <w:uiPriority w:val="0"/>
  </w:style>
  <w:style w:type="paragraph" w:customStyle="1" w:styleId="65">
    <w:name w:val="msonormal"/>
    <w:basedOn w:val="1"/>
    <w:qFormat/>
    <w:uiPriority w:val="0"/>
    <w:pPr>
      <w:widowControl/>
      <w:spacing w:before="100" w:beforeAutospacing="1" w:after="100" w:afterAutospacing="1" w:line="240" w:lineRule="auto"/>
      <w:ind w:firstLine="0"/>
      <w:jc w:val="left"/>
    </w:pPr>
    <w:rPr>
      <w:rFonts w:ascii="宋体" w:hAnsi="宋体" w:eastAsia="宋体" w:cs="宋体"/>
      <w:kern w:val="0"/>
      <w:sz w:val="24"/>
      <w:szCs w:val="24"/>
    </w:rPr>
  </w:style>
  <w:style w:type="paragraph" w:customStyle="1" w:styleId="66">
    <w:name w:val="font5"/>
    <w:basedOn w:val="1"/>
    <w:autoRedefine/>
    <w:qFormat/>
    <w:uiPriority w:val="0"/>
    <w:pPr>
      <w:widowControl/>
      <w:spacing w:before="100" w:beforeAutospacing="1" w:after="100" w:afterAutospacing="1" w:line="240" w:lineRule="auto"/>
      <w:ind w:firstLine="0"/>
      <w:jc w:val="left"/>
    </w:pPr>
    <w:rPr>
      <w:rFonts w:ascii="宋体" w:hAnsi="宋体" w:eastAsia="宋体" w:cs="宋体"/>
      <w:kern w:val="0"/>
      <w:sz w:val="18"/>
      <w:szCs w:val="18"/>
    </w:rPr>
  </w:style>
  <w:style w:type="paragraph" w:customStyle="1" w:styleId="67">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kern w:val="0"/>
      <w:sz w:val="20"/>
      <w:szCs w:val="20"/>
    </w:rPr>
  </w:style>
  <w:style w:type="paragraph" w:customStyle="1" w:styleId="6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kern w:val="0"/>
      <w:sz w:val="20"/>
      <w:szCs w:val="20"/>
    </w:rPr>
  </w:style>
  <w:style w:type="paragraph" w:customStyle="1" w:styleId="69">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kern w:val="0"/>
      <w:sz w:val="20"/>
      <w:szCs w:val="20"/>
    </w:rPr>
  </w:style>
  <w:style w:type="paragraph" w:customStyle="1" w:styleId="70">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center"/>
    </w:pPr>
    <w:rPr>
      <w:rFonts w:ascii="宋体" w:hAnsi="宋体" w:eastAsia="宋体" w:cs="宋体"/>
      <w:kern w:val="0"/>
      <w:sz w:val="20"/>
      <w:szCs w:val="20"/>
    </w:rPr>
  </w:style>
  <w:style w:type="paragraph" w:customStyle="1" w:styleId="71">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color w:val="000000"/>
      <w:kern w:val="0"/>
      <w:sz w:val="20"/>
      <w:szCs w:val="20"/>
    </w:rPr>
  </w:style>
  <w:style w:type="paragraph" w:customStyle="1" w:styleId="72">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kern w:val="0"/>
      <w:sz w:val="20"/>
      <w:szCs w:val="20"/>
    </w:rPr>
  </w:style>
  <w:style w:type="paragraph" w:customStyle="1" w:styleId="73">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color w:val="000000"/>
      <w:kern w:val="0"/>
      <w:sz w:val="20"/>
      <w:szCs w:val="20"/>
    </w:rPr>
  </w:style>
  <w:style w:type="paragraph" w:customStyle="1" w:styleId="74">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center"/>
    </w:pPr>
    <w:rPr>
      <w:rFonts w:ascii="宋体" w:hAnsi="宋体" w:eastAsia="宋体" w:cs="宋体"/>
      <w:color w:val="000000"/>
      <w:kern w:val="0"/>
      <w:sz w:val="20"/>
      <w:szCs w:val="20"/>
    </w:rPr>
  </w:style>
  <w:style w:type="paragraph" w:customStyle="1" w:styleId="7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color w:val="000000"/>
      <w:kern w:val="0"/>
      <w:sz w:val="20"/>
      <w:szCs w:val="20"/>
    </w:rPr>
  </w:style>
  <w:style w:type="paragraph" w:customStyle="1" w:styleId="76">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center"/>
    </w:pPr>
    <w:rPr>
      <w:rFonts w:ascii="宋体" w:hAnsi="宋体" w:eastAsia="宋体" w:cs="宋体"/>
      <w:color w:val="000000"/>
      <w:kern w:val="0"/>
      <w:sz w:val="20"/>
      <w:szCs w:val="20"/>
    </w:rPr>
  </w:style>
  <w:style w:type="paragraph" w:customStyle="1" w:styleId="77">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kern w:val="0"/>
      <w:sz w:val="20"/>
      <w:szCs w:val="20"/>
    </w:rPr>
  </w:style>
  <w:style w:type="paragraph" w:customStyle="1" w:styleId="7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jc w:val="left"/>
    </w:pPr>
    <w:rPr>
      <w:rFonts w:ascii="宋体" w:hAnsi="宋体" w:eastAsia="宋体" w:cs="宋体"/>
      <w:kern w:val="0"/>
      <w:sz w:val="20"/>
      <w:szCs w:val="20"/>
    </w:rPr>
  </w:style>
  <w:style w:type="paragraph" w:customStyle="1" w:styleId="79">
    <w:name w:val="xl87"/>
    <w:basedOn w:val="1"/>
    <w:autoRedefine/>
    <w:qFormat/>
    <w:uiPriority w:val="0"/>
    <w:pPr>
      <w:widowControl/>
      <w:spacing w:before="100" w:beforeAutospacing="1" w:after="100" w:afterAutospacing="1" w:line="240" w:lineRule="auto"/>
      <w:ind w:firstLine="0"/>
      <w:jc w:val="left"/>
    </w:pPr>
    <w:rPr>
      <w:rFonts w:ascii="宋体" w:hAnsi="宋体" w:eastAsia="宋体" w:cs="宋体"/>
      <w:kern w:val="0"/>
      <w:sz w:val="24"/>
      <w:szCs w:val="24"/>
    </w:rPr>
  </w:style>
  <w:style w:type="character" w:customStyle="1" w:styleId="80">
    <w:name w:val="标题 字符"/>
    <w:basedOn w:val="31"/>
    <w:link w:val="26"/>
    <w:autoRedefine/>
    <w:qFormat/>
    <w:uiPriority w:val="0"/>
    <w:rPr>
      <w:rFonts w:ascii="Arial" w:hAnsi="Arial" w:eastAsia="仿宋" w:cs="Arial"/>
      <w:b/>
      <w:bCs/>
      <w:sz w:val="32"/>
      <w:szCs w:val="32"/>
    </w:rPr>
  </w:style>
  <w:style w:type="character" w:customStyle="1" w:styleId="81">
    <w:name w:val="正文文本 字符"/>
    <w:basedOn w:val="31"/>
    <w:link w:val="12"/>
    <w:autoRedefine/>
    <w:semiHidden/>
    <w:qFormat/>
    <w:uiPriority w:val="99"/>
    <w:rPr>
      <w:rFonts w:ascii="Calibri" w:hAnsi="Calibri" w:eastAsia="仿宋" w:cs="Times New Roman"/>
      <w:kern w:val="2"/>
      <w:sz w:val="28"/>
      <w:szCs w:val="22"/>
    </w:rPr>
  </w:style>
  <w:style w:type="character" w:customStyle="1" w:styleId="82">
    <w:name w:val="正文文本首行缩进 字符"/>
    <w:basedOn w:val="81"/>
    <w:link w:val="28"/>
    <w:autoRedefine/>
    <w:qFormat/>
    <w:uiPriority w:val="0"/>
    <w:rPr>
      <w:rFonts w:ascii="Times New Roman" w:hAnsi="Times New Roman" w:eastAsia="宋体" w:cs="Times New Roman"/>
      <w:kern w:val="2"/>
      <w:sz w:val="28"/>
      <w:szCs w:val="22"/>
    </w:rPr>
  </w:style>
  <w:style w:type="paragraph" w:customStyle="1" w:styleId="83">
    <w:name w:val="PlainText"/>
    <w:basedOn w:val="1"/>
    <w:autoRedefine/>
    <w:qFormat/>
    <w:uiPriority w:val="0"/>
    <w:pPr>
      <w:spacing w:line="240" w:lineRule="auto"/>
      <w:ind w:firstLine="0"/>
      <w:textAlignment w:val="baseline"/>
    </w:pPr>
    <w:rPr>
      <w:rFonts w:ascii="宋体" w:hAnsi="Courier New" w:eastAsia="宋体"/>
      <w:sz w:val="21"/>
      <w:szCs w:val="21"/>
    </w:rPr>
  </w:style>
  <w:style w:type="character" w:customStyle="1" w:styleId="84">
    <w:name w:val="Unresolved Mention"/>
    <w:basedOn w:val="31"/>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6163B2-7F79-4462-BB1C-537D1B940F8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138</Pages>
  <Words>67272</Words>
  <Characters>68454</Characters>
  <Lines>534</Lines>
  <Paragraphs>150</Paragraphs>
  <TotalTime>21</TotalTime>
  <ScaleCrop>false</ScaleCrop>
  <LinksUpToDate>false</LinksUpToDate>
  <CharactersWithSpaces>68805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2020-12-31T06:00:00Z</dcterms:created>
  <dc:creator>AutoBVT</dc:creator>
  <cp:lastModifiedBy>杨yy</cp:lastModifiedBy>
  <cp:lastPrinted>2021-05-27T01:21:00Z</cp:lastPrinted>
  <dcterms:modified xsi:type="dcterms:W3CDTF">2024-03-26T12:58:39Z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4950241E84874728A91124412B14FE67_13</vt:lpwstr>
  </property>
</Properties>
</file>